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BB113">
      <w:pPr>
        <w:adjustRightInd/>
        <w:snapToGrid/>
        <w:spacing w:line="220" w:lineRule="atLeast"/>
        <w:ind w:firstLine="0" w:firstLineChars="0"/>
        <w:jc w:val="center"/>
        <w:rPr>
          <w:b/>
          <w:bCs/>
          <w:color w:val="auto"/>
          <w:sz w:val="52"/>
          <w:szCs w:val="52"/>
          <w:highlight w:val="none"/>
        </w:rPr>
      </w:pPr>
      <w:r>
        <w:rPr>
          <w:rFonts w:hint="eastAsia"/>
          <w:b/>
          <w:color w:val="auto"/>
          <w:sz w:val="52"/>
          <w:szCs w:val="52"/>
          <w:highlight w:val="none"/>
          <w:lang w:val="en-US" w:eastAsia="zh-CN"/>
        </w:rPr>
        <w:t xml:space="preserve"> </w:t>
      </w:r>
      <w:r>
        <w:rPr>
          <w:rFonts w:hint="eastAsia"/>
          <w:b/>
          <w:color w:val="auto"/>
          <w:sz w:val="52"/>
          <w:szCs w:val="52"/>
          <w:highlight w:val="none"/>
          <w:lang w:eastAsia="zh-CN"/>
        </w:rPr>
        <w:t>江西萍乡建工集团有限公司财务系统项目</w:t>
      </w:r>
      <w:r>
        <w:rPr>
          <w:rFonts w:hint="eastAsia"/>
          <w:b/>
          <w:bCs/>
          <w:color w:val="auto"/>
          <w:sz w:val="52"/>
          <w:szCs w:val="52"/>
          <w:highlight w:val="none"/>
        </w:rPr>
        <w:t>竞争性磋商文件</w:t>
      </w:r>
    </w:p>
    <w:p w14:paraId="20936899">
      <w:pPr>
        <w:ind w:firstLine="1920" w:firstLineChars="400"/>
        <w:rPr>
          <w:rFonts w:ascii="仿宋" w:hAnsi="仿宋" w:eastAsia="仿宋" w:cs="仿宋"/>
          <w:color w:val="auto"/>
          <w:sz w:val="48"/>
          <w:szCs w:val="48"/>
          <w:highlight w:val="none"/>
        </w:rPr>
      </w:pPr>
    </w:p>
    <w:p w14:paraId="570E186F">
      <w:pPr>
        <w:ind w:firstLine="1920" w:firstLineChars="400"/>
        <w:rPr>
          <w:rFonts w:ascii="仿宋" w:hAnsi="仿宋" w:eastAsia="仿宋" w:cs="仿宋"/>
          <w:color w:val="auto"/>
          <w:sz w:val="48"/>
          <w:szCs w:val="48"/>
          <w:highlight w:val="none"/>
        </w:rPr>
      </w:pPr>
    </w:p>
    <w:p w14:paraId="7F88B39D">
      <w:pPr>
        <w:ind w:firstLine="1920" w:firstLineChars="400"/>
        <w:rPr>
          <w:rFonts w:ascii="仿宋" w:hAnsi="仿宋" w:eastAsia="仿宋" w:cs="仿宋"/>
          <w:color w:val="auto"/>
          <w:sz w:val="48"/>
          <w:szCs w:val="48"/>
          <w:highlight w:val="none"/>
        </w:rPr>
      </w:pPr>
    </w:p>
    <w:tbl>
      <w:tblPr>
        <w:tblStyle w:val="26"/>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1"/>
        <w:gridCol w:w="6089"/>
      </w:tblGrid>
      <w:tr w14:paraId="351D3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pct"/>
            <w:noWrap w:val="0"/>
            <w:vAlign w:val="center"/>
          </w:tcPr>
          <w:p w14:paraId="0D692FB7">
            <w:pPr>
              <w:widowControl w:val="0"/>
              <w:adjustRightInd/>
              <w:snapToGrid/>
              <w:spacing w:after="0" w:line="800" w:lineRule="exact"/>
              <w:ind w:firstLine="0" w:firstLineChars="0"/>
              <w:jc w:val="distribute"/>
              <w:rPr>
                <w:color w:val="auto"/>
                <w:highlight w:val="none"/>
              </w:rPr>
            </w:pPr>
            <w:r>
              <w:rPr>
                <w:rFonts w:hint="eastAsia"/>
                <w:color w:val="auto"/>
                <w:highlight w:val="none"/>
              </w:rPr>
              <w:t>招标编号：</w:t>
            </w:r>
          </w:p>
        </w:tc>
        <w:tc>
          <w:tcPr>
            <w:tcW w:w="6619" w:type="dxa"/>
            <w:tcBorders>
              <w:bottom w:val="single" w:color="auto" w:sz="4" w:space="0"/>
            </w:tcBorders>
            <w:noWrap w:val="0"/>
            <w:vAlign w:val="top"/>
          </w:tcPr>
          <w:p w14:paraId="08A6BA8C">
            <w:pPr>
              <w:widowControl w:val="0"/>
              <w:adjustRightInd/>
              <w:snapToGrid/>
              <w:spacing w:after="0" w:line="800" w:lineRule="exact"/>
              <w:ind w:firstLine="0" w:firstLineChars="0"/>
              <w:jc w:val="left"/>
              <w:rPr>
                <w:rFonts w:hint="default" w:eastAsia="仿宋_GB2312"/>
                <w:color w:val="auto"/>
                <w:highlight w:val="none"/>
                <w:lang w:val="en-US" w:eastAsia="zh-CN"/>
              </w:rPr>
            </w:pPr>
            <w:r>
              <w:rPr>
                <w:rFonts w:hint="eastAsia" w:cs="仿宋_GB2312"/>
                <w:color w:val="auto"/>
                <w:sz w:val="24"/>
                <w:szCs w:val="24"/>
                <w:highlight w:val="none"/>
                <w:lang w:val="en-US" w:eastAsia="zh-CN"/>
              </w:rPr>
              <w:t>JXPXJG-CG-JT-202</w:t>
            </w:r>
            <w:bookmarkStart w:id="519" w:name="_GoBack"/>
            <w:bookmarkEnd w:id="519"/>
            <w:r>
              <w:rPr>
                <w:rFonts w:hint="eastAsia" w:cs="仿宋_GB2312"/>
                <w:color w:val="auto"/>
                <w:sz w:val="24"/>
                <w:szCs w:val="24"/>
                <w:highlight w:val="none"/>
                <w:lang w:val="en-US" w:eastAsia="zh-CN"/>
              </w:rPr>
              <w:t>6-FW-002</w:t>
            </w:r>
          </w:p>
        </w:tc>
      </w:tr>
      <w:tr w14:paraId="1C101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1414" w:type="pct"/>
            <w:noWrap w:val="0"/>
            <w:vAlign w:val="center"/>
          </w:tcPr>
          <w:p w14:paraId="6E026EF9">
            <w:pPr>
              <w:widowControl w:val="0"/>
              <w:adjustRightInd/>
              <w:snapToGrid/>
              <w:spacing w:after="0" w:line="800" w:lineRule="exact"/>
              <w:ind w:firstLine="0" w:firstLineChars="0"/>
              <w:jc w:val="distribute"/>
              <w:rPr>
                <w:color w:val="auto"/>
                <w:highlight w:val="none"/>
              </w:rPr>
            </w:pPr>
            <w:r>
              <w:rPr>
                <w:rFonts w:hint="eastAsia"/>
                <w:color w:val="auto"/>
                <w:spacing w:val="160"/>
                <w:highlight w:val="none"/>
                <w:lang w:val="en-US" w:eastAsia="zh-CN"/>
              </w:rPr>
              <w:t>采购</w:t>
            </w:r>
            <w:r>
              <w:rPr>
                <w:rFonts w:hint="eastAsia"/>
                <w:color w:val="auto"/>
                <w:highlight w:val="none"/>
              </w:rPr>
              <w:t>人：</w:t>
            </w:r>
          </w:p>
        </w:tc>
        <w:tc>
          <w:tcPr>
            <w:tcW w:w="6619" w:type="dxa"/>
            <w:tcBorders>
              <w:top w:val="single" w:color="auto" w:sz="4" w:space="0"/>
              <w:bottom w:val="single" w:color="auto" w:sz="4" w:space="0"/>
            </w:tcBorders>
            <w:noWrap w:val="0"/>
            <w:vAlign w:val="top"/>
          </w:tcPr>
          <w:p w14:paraId="023090FE">
            <w:pPr>
              <w:widowControl w:val="0"/>
              <w:adjustRightInd/>
              <w:snapToGrid/>
              <w:spacing w:after="0" w:line="800" w:lineRule="exact"/>
              <w:ind w:firstLine="0" w:firstLineChars="0"/>
              <w:jc w:val="left"/>
              <w:rPr>
                <w:color w:val="auto"/>
                <w:highlight w:val="none"/>
              </w:rPr>
            </w:pPr>
            <w:r>
              <w:rPr>
                <w:rFonts w:hint="eastAsia"/>
                <w:color w:val="auto"/>
                <w:sz w:val="24"/>
                <w:szCs w:val="24"/>
                <w:highlight w:val="none"/>
                <w:lang w:val="en-US" w:eastAsia="zh-CN"/>
              </w:rPr>
              <w:t>江西萍乡建工集团有限公司</w:t>
            </w:r>
          </w:p>
        </w:tc>
      </w:tr>
      <w:tr w14:paraId="2BD7A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pct"/>
            <w:noWrap w:val="0"/>
            <w:vAlign w:val="center"/>
          </w:tcPr>
          <w:p w14:paraId="3E3C03DB">
            <w:pPr>
              <w:widowControl w:val="0"/>
              <w:adjustRightInd/>
              <w:snapToGrid/>
              <w:spacing w:after="0" w:line="800" w:lineRule="exact"/>
              <w:ind w:firstLine="0" w:firstLineChars="0"/>
              <w:jc w:val="distribute"/>
              <w:rPr>
                <w:color w:val="auto"/>
                <w:highlight w:val="none"/>
              </w:rPr>
            </w:pPr>
            <w:r>
              <w:rPr>
                <w:rFonts w:hint="eastAsia"/>
                <w:color w:val="auto"/>
                <w:spacing w:val="640"/>
                <w:highlight w:val="none"/>
              </w:rPr>
              <w:t>地</w:t>
            </w:r>
            <w:r>
              <w:rPr>
                <w:rFonts w:hint="eastAsia"/>
                <w:color w:val="auto"/>
                <w:highlight w:val="none"/>
              </w:rPr>
              <w:t>址：</w:t>
            </w:r>
          </w:p>
        </w:tc>
        <w:tc>
          <w:tcPr>
            <w:tcW w:w="6619" w:type="dxa"/>
            <w:tcBorders>
              <w:top w:val="single" w:color="auto" w:sz="4" w:space="0"/>
              <w:bottom w:val="single" w:color="auto" w:sz="4" w:space="0"/>
            </w:tcBorders>
            <w:noWrap w:val="0"/>
            <w:vAlign w:val="top"/>
          </w:tcPr>
          <w:p w14:paraId="4AE3EEE9">
            <w:pPr>
              <w:widowControl w:val="0"/>
              <w:adjustRightInd/>
              <w:snapToGrid/>
              <w:spacing w:after="0" w:line="800" w:lineRule="exact"/>
              <w:ind w:firstLine="0" w:firstLineChars="0"/>
              <w:jc w:val="left"/>
              <w:rPr>
                <w:rFonts w:hint="eastAsia"/>
                <w:color w:val="auto"/>
                <w:sz w:val="24"/>
                <w:szCs w:val="24"/>
                <w:highlight w:val="none"/>
                <w:lang w:val="en-US" w:eastAsia="zh-CN"/>
              </w:rPr>
            </w:pPr>
            <w:r>
              <w:rPr>
                <w:rFonts w:hint="eastAsia" w:cs="仿宋_GB2312"/>
                <w:szCs w:val="24"/>
                <w:highlight w:val="none"/>
              </w:rPr>
              <w:t>萍乡市经济技术开发区吴楚东大道10号萍乡建工集团</w:t>
            </w:r>
          </w:p>
        </w:tc>
      </w:tr>
      <w:tr w14:paraId="3B521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pct"/>
            <w:noWrap w:val="0"/>
            <w:vAlign w:val="center"/>
          </w:tcPr>
          <w:p w14:paraId="687C382F">
            <w:pPr>
              <w:widowControl w:val="0"/>
              <w:adjustRightInd/>
              <w:snapToGrid/>
              <w:spacing w:after="0" w:line="800" w:lineRule="exact"/>
              <w:ind w:firstLine="0" w:firstLineChars="0"/>
              <w:jc w:val="distribute"/>
              <w:rPr>
                <w:color w:val="auto"/>
                <w:highlight w:val="none"/>
              </w:rPr>
            </w:pPr>
            <w:r>
              <w:rPr>
                <w:rFonts w:hint="eastAsia"/>
                <w:color w:val="auto"/>
                <w:spacing w:val="160"/>
                <w:highlight w:val="none"/>
              </w:rPr>
              <w:t>联系</w:t>
            </w:r>
            <w:r>
              <w:rPr>
                <w:rFonts w:hint="eastAsia"/>
                <w:color w:val="auto"/>
                <w:highlight w:val="none"/>
              </w:rPr>
              <w:t>人：</w:t>
            </w:r>
          </w:p>
        </w:tc>
        <w:tc>
          <w:tcPr>
            <w:tcW w:w="6619" w:type="dxa"/>
            <w:tcBorders>
              <w:top w:val="single" w:color="auto" w:sz="4" w:space="0"/>
              <w:bottom w:val="single" w:color="auto" w:sz="4" w:space="0"/>
            </w:tcBorders>
            <w:noWrap w:val="0"/>
            <w:vAlign w:val="top"/>
          </w:tcPr>
          <w:p w14:paraId="6D04851B">
            <w:pPr>
              <w:widowControl w:val="0"/>
              <w:adjustRightInd/>
              <w:snapToGrid/>
              <w:spacing w:after="0" w:line="800" w:lineRule="exact"/>
              <w:ind w:firstLine="0" w:firstLineChars="0"/>
              <w:jc w:val="left"/>
              <w:rPr>
                <w:rFonts w:hint="default" w:eastAsia="仿宋_GB2312"/>
                <w:color w:val="auto"/>
                <w:highlight w:val="none"/>
                <w:lang w:val="en-US" w:eastAsia="zh-CN"/>
              </w:rPr>
            </w:pPr>
            <w:r>
              <w:rPr>
                <w:rFonts w:hint="eastAsia"/>
                <w:lang w:val="en-US" w:eastAsia="zh-CN"/>
              </w:rPr>
              <w:t>周先生</w:t>
            </w:r>
          </w:p>
        </w:tc>
      </w:tr>
      <w:tr w14:paraId="2108B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pct"/>
            <w:noWrap w:val="0"/>
            <w:vAlign w:val="center"/>
          </w:tcPr>
          <w:p w14:paraId="450539C1">
            <w:pPr>
              <w:widowControl w:val="0"/>
              <w:adjustRightInd/>
              <w:snapToGrid/>
              <w:spacing w:after="0" w:line="800" w:lineRule="exact"/>
              <w:ind w:firstLine="0" w:firstLineChars="0"/>
              <w:jc w:val="distribute"/>
              <w:rPr>
                <w:color w:val="auto"/>
                <w:highlight w:val="none"/>
              </w:rPr>
            </w:pPr>
            <w:r>
              <w:rPr>
                <w:rFonts w:hint="eastAsia"/>
                <w:color w:val="auto"/>
                <w:highlight w:val="none"/>
              </w:rPr>
              <w:t>联系方式：</w:t>
            </w:r>
          </w:p>
        </w:tc>
        <w:tc>
          <w:tcPr>
            <w:tcW w:w="6619" w:type="dxa"/>
            <w:tcBorders>
              <w:top w:val="single" w:color="auto" w:sz="4" w:space="0"/>
              <w:bottom w:val="single" w:color="auto" w:sz="4" w:space="0"/>
            </w:tcBorders>
            <w:noWrap w:val="0"/>
            <w:vAlign w:val="top"/>
          </w:tcPr>
          <w:p w14:paraId="7779685B">
            <w:pPr>
              <w:spacing w:after="0" w:line="800" w:lineRule="exact"/>
              <w:ind w:firstLine="0" w:firstLineChars="0"/>
              <w:jc w:val="left"/>
              <w:rPr>
                <w:rFonts w:hint="default" w:eastAsia="仿宋_GB2312"/>
                <w:color w:val="auto"/>
                <w:highlight w:val="none"/>
                <w:lang w:val="en-US" w:eastAsia="zh-CN"/>
              </w:rPr>
            </w:pPr>
            <w:r>
              <w:rPr>
                <w:rFonts w:hint="eastAsia" w:cs="Times New Roman"/>
                <w:color w:val="auto"/>
                <w:highlight w:val="none"/>
                <w:u w:val="none"/>
                <w:lang w:val="en-US" w:eastAsia="zh-CN"/>
              </w:rPr>
              <w:t>0799-6667600</w:t>
            </w:r>
          </w:p>
        </w:tc>
      </w:tr>
      <w:tr w14:paraId="19808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pct"/>
            <w:noWrap w:val="0"/>
            <w:vAlign w:val="center"/>
          </w:tcPr>
          <w:p w14:paraId="21E657C3">
            <w:pPr>
              <w:adjustRightInd/>
              <w:snapToGrid/>
              <w:spacing w:after="0" w:line="800" w:lineRule="exact"/>
              <w:ind w:firstLine="0" w:firstLineChars="0"/>
              <w:jc w:val="distribute"/>
              <w:rPr>
                <w:color w:val="auto"/>
                <w:highlight w:val="none"/>
              </w:rPr>
            </w:pPr>
            <w:r>
              <w:rPr>
                <w:rFonts w:hint="eastAsia"/>
                <w:color w:val="auto"/>
                <w:highlight w:val="none"/>
              </w:rPr>
              <w:t>编制时间：</w:t>
            </w:r>
          </w:p>
        </w:tc>
        <w:tc>
          <w:tcPr>
            <w:tcW w:w="6619" w:type="dxa"/>
            <w:tcBorders>
              <w:top w:val="single" w:color="auto" w:sz="4" w:space="0"/>
              <w:bottom w:val="single" w:color="auto" w:sz="4" w:space="0"/>
            </w:tcBorders>
            <w:noWrap w:val="0"/>
            <w:vAlign w:val="top"/>
          </w:tcPr>
          <w:p w14:paraId="728CE936">
            <w:pPr>
              <w:adjustRightInd/>
              <w:snapToGrid/>
              <w:spacing w:after="0" w:line="800" w:lineRule="exact"/>
              <w:ind w:firstLine="0" w:firstLineChars="0"/>
              <w:jc w:val="left"/>
              <w:rPr>
                <w:color w:val="auto"/>
                <w:highlight w:val="none"/>
              </w:rPr>
            </w:pPr>
            <w:r>
              <w:rPr>
                <w:rFonts w:hint="eastAsia"/>
                <w:color w:val="auto"/>
                <w:sz w:val="24"/>
                <w:szCs w:val="24"/>
                <w:highlight w:val="none"/>
                <w:lang w:val="en-US" w:eastAsia="zh-CN"/>
              </w:rPr>
              <w:t>2026年1月</w:t>
            </w:r>
          </w:p>
        </w:tc>
      </w:tr>
    </w:tbl>
    <w:p w14:paraId="79E6DB8E">
      <w:pPr>
        <w:ind w:firstLine="1920" w:firstLineChars="400"/>
        <w:rPr>
          <w:rFonts w:ascii="仿宋" w:hAnsi="仿宋" w:eastAsia="仿宋" w:cs="仿宋"/>
          <w:color w:val="auto"/>
          <w:sz w:val="48"/>
          <w:szCs w:val="48"/>
          <w:highlight w:val="none"/>
        </w:rPr>
      </w:pPr>
    </w:p>
    <w:p w14:paraId="52D11385">
      <w:pPr>
        <w:spacing w:line="360" w:lineRule="auto"/>
        <w:jc w:val="both"/>
        <w:rPr>
          <w:rFonts w:hint="eastAsia" w:ascii="仿宋" w:hAnsi="仿宋" w:eastAsia="仿宋" w:cs="仿宋"/>
          <w:b/>
          <w:bCs/>
          <w:color w:val="auto"/>
          <w:sz w:val="32"/>
          <w:highlight w:val="none"/>
        </w:rPr>
      </w:pPr>
    </w:p>
    <w:p w14:paraId="208A4116">
      <w:pPr>
        <w:spacing w:line="360" w:lineRule="auto"/>
        <w:jc w:val="both"/>
        <w:rPr>
          <w:rFonts w:hint="eastAsia" w:ascii="仿宋" w:hAnsi="仿宋" w:eastAsia="仿宋" w:cs="仿宋"/>
          <w:b/>
          <w:bCs/>
          <w:color w:val="auto"/>
          <w:sz w:val="32"/>
          <w:highlight w:val="none"/>
        </w:rPr>
      </w:pPr>
    </w:p>
    <w:p w14:paraId="558BDF94">
      <w:pPr>
        <w:adjustRightInd/>
        <w:snapToGrid/>
        <w:spacing w:line="360" w:lineRule="auto"/>
        <w:ind w:firstLine="0" w:firstLineChars="0"/>
        <w:jc w:val="center"/>
        <w:rPr>
          <w:rFonts w:hint="eastAsia" w:ascii="仿宋_GB2312" w:hAnsi="仿宋_GB2312" w:eastAsia="仿宋_GB2312" w:cs="仿宋_GB2312"/>
          <w:b/>
          <w:bCs/>
          <w:color w:val="auto"/>
          <w:sz w:val="32"/>
          <w:szCs w:val="32"/>
          <w:highlight w:val="none"/>
          <w:lang w:val="en-US" w:eastAsia="zh-CN"/>
        </w:rPr>
        <w:sectPr>
          <w:footerReference r:id="rId6" w:type="first"/>
          <w:headerReference r:id="rId5" w:type="default"/>
          <w:pgSz w:w="11905" w:h="16838"/>
          <w:pgMar w:top="1417" w:right="1814" w:bottom="1417" w:left="1814" w:header="850" w:footer="992" w:gutter="0"/>
          <w:pgBorders>
            <w:top w:val="none" w:sz="0" w:space="0"/>
            <w:left w:val="none" w:sz="0" w:space="0"/>
            <w:bottom w:val="none" w:sz="0" w:space="0"/>
            <w:right w:val="none" w:sz="0" w:space="0"/>
          </w:pgBorders>
          <w:pgNumType w:fmt="decimal" w:start="1"/>
          <w:cols w:space="0" w:num="1"/>
          <w:rtlGutter w:val="0"/>
          <w:docGrid w:type="linesAndChars" w:linePitch="333" w:charSpace="0"/>
        </w:sectPr>
      </w:pPr>
      <w:r>
        <w:rPr>
          <w:rFonts w:hint="eastAsia" w:ascii="仿宋_GB2312" w:hAnsi="仿宋_GB2312" w:eastAsia="仿宋_GB2312" w:cs="仿宋_GB2312"/>
          <w:b/>
          <w:bCs/>
          <w:color w:val="auto"/>
          <w:sz w:val="32"/>
          <w:szCs w:val="32"/>
          <w:highlight w:val="none"/>
          <w:lang w:val="en-US" w:eastAsia="zh-CN"/>
        </w:rPr>
        <w:t>二〇二</w:t>
      </w:r>
      <w:r>
        <w:rPr>
          <w:rFonts w:hint="eastAsia"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lang w:val="en-US" w:eastAsia="zh-CN"/>
        </w:rPr>
        <w:t>年</w:t>
      </w:r>
    </w:p>
    <w:p w14:paraId="68BE68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目</w:t>
      </w:r>
      <w:r>
        <w:rPr>
          <w:rFonts w:hint="eastAsia" w:ascii="仿宋" w:hAnsi="仿宋" w:eastAsia="仿宋" w:cs="仿宋"/>
          <w:b/>
          <w:bCs w:val="0"/>
          <w:color w:val="auto"/>
          <w:sz w:val="28"/>
          <w:szCs w:val="28"/>
          <w:highlight w:val="none"/>
          <w:lang w:val="en-US" w:eastAsia="zh-CN"/>
        </w:rPr>
        <w:t xml:space="preserve"> </w:t>
      </w:r>
      <w:r>
        <w:rPr>
          <w:rFonts w:hint="eastAsia" w:ascii="仿宋" w:hAnsi="仿宋" w:eastAsia="仿宋" w:cs="仿宋"/>
          <w:b/>
          <w:bCs w:val="0"/>
          <w:color w:val="auto"/>
          <w:sz w:val="28"/>
          <w:szCs w:val="28"/>
          <w:highlight w:val="none"/>
        </w:rPr>
        <w:t>录</w:t>
      </w:r>
    </w:p>
    <w:p w14:paraId="5BE7A7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auto"/>
          <w:sz w:val="28"/>
          <w:szCs w:val="28"/>
          <w:highlight w:val="none"/>
        </w:rPr>
      </w:pPr>
    </w:p>
    <w:p w14:paraId="455ED48D">
      <w:pPr>
        <w:pStyle w:val="20"/>
        <w:tabs>
          <w:tab w:val="right" w:leader="dot" w:pos="8277"/>
        </w:tabs>
      </w:pPr>
      <w:r>
        <w:rPr>
          <w:rFonts w:hint="eastAsia" w:ascii="仿宋" w:hAnsi="仿宋" w:eastAsia="仿宋" w:cs="仿宋"/>
          <w:color w:val="auto"/>
          <w:highlight w:val="none"/>
        </w:rPr>
        <w:fldChar w:fldCharType="begin"/>
      </w:r>
      <w:r>
        <w:rPr>
          <w:rStyle w:val="30"/>
          <w:rFonts w:hint="eastAsia" w:ascii="仿宋" w:hAnsi="仿宋" w:eastAsia="仿宋" w:cs="仿宋"/>
          <w:color w:val="auto"/>
          <w:highlight w:val="none"/>
        </w:rPr>
        <w:instrText xml:space="preserve"> TOC \o "1-3" \h \z \u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_Toc11331 </w:instrText>
      </w:r>
      <w:r>
        <w:rPr>
          <w:rFonts w:hint="eastAsia" w:ascii="仿宋" w:hAnsi="仿宋" w:eastAsia="仿宋" w:cs="仿宋"/>
          <w:highlight w:val="none"/>
        </w:rPr>
        <w:fldChar w:fldCharType="separate"/>
      </w:r>
      <w:r>
        <w:rPr>
          <w:rFonts w:hint="eastAsia"/>
          <w:highlight w:val="none"/>
          <w:lang w:val="en-US" w:eastAsia="zh-CN"/>
        </w:rPr>
        <w:t xml:space="preserve">第一章  </w:t>
      </w:r>
      <w:r>
        <w:rPr>
          <w:rFonts w:hint="eastAsia"/>
          <w:highlight w:val="none"/>
        </w:rPr>
        <w:t>磋商</w:t>
      </w:r>
      <w:r>
        <w:rPr>
          <w:rFonts w:hint="eastAsia"/>
          <w:highlight w:val="none"/>
          <w:lang w:eastAsia="zh-CN"/>
        </w:rPr>
        <w:t>公告</w:t>
      </w:r>
      <w:r>
        <w:tab/>
      </w:r>
      <w:r>
        <w:fldChar w:fldCharType="begin"/>
      </w:r>
      <w:r>
        <w:instrText xml:space="preserve"> PAGEREF _Toc11331 \h </w:instrText>
      </w:r>
      <w:r>
        <w:fldChar w:fldCharType="separate"/>
      </w:r>
      <w:r>
        <w:t>3</w:t>
      </w:r>
      <w:r>
        <w:fldChar w:fldCharType="end"/>
      </w:r>
      <w:r>
        <w:rPr>
          <w:rFonts w:hint="eastAsia" w:ascii="仿宋" w:hAnsi="仿宋" w:eastAsia="仿宋" w:cs="仿宋"/>
          <w:color w:val="auto"/>
          <w:highlight w:val="none"/>
        </w:rPr>
        <w:fldChar w:fldCharType="end"/>
      </w:r>
    </w:p>
    <w:p w14:paraId="5EE27735">
      <w:pPr>
        <w:pStyle w:val="21"/>
        <w:tabs>
          <w:tab w:val="right" w:leader="dot" w:pos="8277"/>
          <w:tab w:val="clear" w:pos="941"/>
          <w:tab w:val="clear" w:pos="9629"/>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_Toc18443 </w:instrText>
      </w:r>
      <w:r>
        <w:rPr>
          <w:rFonts w:hint="eastAsia" w:ascii="仿宋" w:hAnsi="仿宋" w:eastAsia="仿宋" w:cs="仿宋"/>
          <w:highlight w:val="none"/>
        </w:rPr>
        <w:fldChar w:fldCharType="separate"/>
      </w:r>
      <w:r>
        <w:rPr>
          <w:rFonts w:hint="eastAsia" w:ascii="仿宋_GB2312" w:hAnsi="仿宋_GB2312" w:eastAsia="仿宋_GB2312" w:cs="Times New Roman"/>
          <w:bCs/>
          <w:kern w:val="2"/>
          <w:szCs w:val="32"/>
          <w:lang w:val="en-US" w:eastAsia="zh-CN" w:bidi="ar-SA"/>
        </w:rPr>
        <w:t>一、</w:t>
      </w:r>
      <w:r>
        <w:rPr>
          <w:rFonts w:hint="eastAsia"/>
          <w:highlight w:val="none"/>
        </w:rPr>
        <w:t>项目名称</w:t>
      </w:r>
      <w:r>
        <w:tab/>
      </w:r>
      <w:r>
        <w:fldChar w:fldCharType="begin"/>
      </w:r>
      <w:r>
        <w:instrText xml:space="preserve"> PAGEREF _Toc18443 \h </w:instrText>
      </w:r>
      <w:r>
        <w:fldChar w:fldCharType="separate"/>
      </w:r>
      <w:r>
        <w:t>3</w:t>
      </w:r>
      <w:r>
        <w:fldChar w:fldCharType="end"/>
      </w:r>
      <w:r>
        <w:rPr>
          <w:rFonts w:hint="eastAsia" w:ascii="仿宋" w:hAnsi="仿宋" w:eastAsia="仿宋" w:cs="仿宋"/>
          <w:color w:val="auto"/>
          <w:highlight w:val="none"/>
        </w:rPr>
        <w:fldChar w:fldCharType="end"/>
      </w:r>
    </w:p>
    <w:p w14:paraId="00F83648">
      <w:pPr>
        <w:pStyle w:val="21"/>
        <w:tabs>
          <w:tab w:val="right" w:leader="dot" w:pos="8277"/>
          <w:tab w:val="clear" w:pos="941"/>
          <w:tab w:val="clear" w:pos="9629"/>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_Toc3595 </w:instrText>
      </w:r>
      <w:r>
        <w:rPr>
          <w:rFonts w:hint="eastAsia" w:ascii="仿宋" w:hAnsi="仿宋" w:eastAsia="仿宋" w:cs="仿宋"/>
          <w:highlight w:val="none"/>
        </w:rPr>
        <w:fldChar w:fldCharType="separate"/>
      </w:r>
      <w:r>
        <w:rPr>
          <w:rFonts w:hint="eastAsia" w:ascii="仿宋_GB2312" w:hAnsi="仿宋_GB2312" w:eastAsia="仿宋_GB2312" w:cs="Times New Roman"/>
          <w:bCs/>
          <w:kern w:val="2"/>
          <w:szCs w:val="32"/>
          <w:lang w:val="en-US" w:eastAsia="zh-CN" w:bidi="ar-SA"/>
        </w:rPr>
        <w:t>二、</w:t>
      </w:r>
      <w:r>
        <w:rPr>
          <w:rFonts w:hint="eastAsia"/>
          <w:highlight w:val="none"/>
          <w:lang w:val="en-US" w:eastAsia="zh-CN"/>
        </w:rPr>
        <w:t>采购</w:t>
      </w:r>
      <w:r>
        <w:rPr>
          <w:rFonts w:hint="eastAsia"/>
          <w:highlight w:val="none"/>
        </w:rPr>
        <w:t>人</w:t>
      </w:r>
      <w:r>
        <w:tab/>
      </w:r>
      <w:r>
        <w:fldChar w:fldCharType="begin"/>
      </w:r>
      <w:r>
        <w:instrText xml:space="preserve"> PAGEREF _Toc3595 \h </w:instrText>
      </w:r>
      <w:r>
        <w:fldChar w:fldCharType="separate"/>
      </w:r>
      <w:r>
        <w:t>3</w:t>
      </w:r>
      <w:r>
        <w:fldChar w:fldCharType="end"/>
      </w:r>
      <w:r>
        <w:rPr>
          <w:rFonts w:hint="eastAsia" w:ascii="仿宋" w:hAnsi="仿宋" w:eastAsia="仿宋" w:cs="仿宋"/>
          <w:color w:val="auto"/>
          <w:highlight w:val="none"/>
        </w:rPr>
        <w:fldChar w:fldCharType="end"/>
      </w:r>
    </w:p>
    <w:p w14:paraId="49B322F3">
      <w:pPr>
        <w:pStyle w:val="21"/>
        <w:tabs>
          <w:tab w:val="right" w:leader="dot" w:pos="8277"/>
          <w:tab w:val="clear" w:pos="941"/>
          <w:tab w:val="clear" w:pos="9629"/>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_Toc9135 </w:instrText>
      </w:r>
      <w:r>
        <w:rPr>
          <w:rFonts w:hint="eastAsia" w:ascii="仿宋" w:hAnsi="仿宋" w:eastAsia="仿宋" w:cs="仿宋"/>
          <w:highlight w:val="none"/>
        </w:rPr>
        <w:fldChar w:fldCharType="separate"/>
      </w:r>
      <w:r>
        <w:rPr>
          <w:rFonts w:hint="eastAsia" w:ascii="仿宋_GB2312" w:hAnsi="仿宋_GB2312" w:eastAsia="仿宋_GB2312" w:cs="Times New Roman"/>
          <w:bCs/>
          <w:kern w:val="2"/>
          <w:szCs w:val="32"/>
          <w:lang w:val="en-US" w:eastAsia="zh-CN" w:bidi="ar-SA"/>
        </w:rPr>
        <w:t>三、</w:t>
      </w:r>
      <w:r>
        <w:rPr>
          <w:rFonts w:hint="eastAsia"/>
          <w:highlight w:val="none"/>
          <w:lang w:val="en-US" w:eastAsia="zh-CN"/>
        </w:rPr>
        <w:t>采购</w:t>
      </w:r>
      <w:r>
        <w:rPr>
          <w:rFonts w:hint="eastAsia"/>
          <w:highlight w:val="none"/>
        </w:rPr>
        <w:t>内容</w:t>
      </w:r>
      <w:r>
        <w:tab/>
      </w:r>
      <w:r>
        <w:fldChar w:fldCharType="begin"/>
      </w:r>
      <w:r>
        <w:instrText xml:space="preserve"> PAGEREF _Toc9135 \h </w:instrText>
      </w:r>
      <w:r>
        <w:fldChar w:fldCharType="separate"/>
      </w:r>
      <w:r>
        <w:t>3</w:t>
      </w:r>
      <w:r>
        <w:fldChar w:fldCharType="end"/>
      </w:r>
      <w:r>
        <w:rPr>
          <w:rFonts w:hint="eastAsia" w:ascii="仿宋" w:hAnsi="仿宋" w:eastAsia="仿宋" w:cs="仿宋"/>
          <w:color w:val="auto"/>
          <w:highlight w:val="none"/>
        </w:rPr>
        <w:fldChar w:fldCharType="end"/>
      </w:r>
    </w:p>
    <w:p w14:paraId="078CF1BE">
      <w:pPr>
        <w:pStyle w:val="21"/>
        <w:tabs>
          <w:tab w:val="right" w:leader="dot" w:pos="8277"/>
          <w:tab w:val="clear" w:pos="941"/>
          <w:tab w:val="clear" w:pos="9629"/>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_Toc20679 </w:instrText>
      </w:r>
      <w:r>
        <w:rPr>
          <w:rFonts w:hint="eastAsia" w:ascii="仿宋" w:hAnsi="仿宋" w:eastAsia="仿宋" w:cs="仿宋"/>
          <w:highlight w:val="none"/>
        </w:rPr>
        <w:fldChar w:fldCharType="separate"/>
      </w:r>
      <w:r>
        <w:rPr>
          <w:rFonts w:hint="eastAsia" w:ascii="仿宋_GB2312" w:hAnsi="仿宋_GB2312" w:eastAsia="仿宋_GB2312" w:cs="Times New Roman"/>
          <w:bCs/>
          <w:kern w:val="2"/>
          <w:szCs w:val="32"/>
          <w:lang w:val="en-US" w:eastAsia="zh-CN" w:bidi="ar-SA"/>
        </w:rPr>
        <w:t>四、</w:t>
      </w:r>
      <w:r>
        <w:rPr>
          <w:rFonts w:hint="eastAsia"/>
          <w:highlight w:val="none"/>
          <w:lang w:eastAsia="zh-CN"/>
        </w:rPr>
        <w:t>供应商</w:t>
      </w:r>
      <w:r>
        <w:rPr>
          <w:rFonts w:hint="eastAsia"/>
          <w:highlight w:val="none"/>
        </w:rPr>
        <w:t>资格要求</w:t>
      </w:r>
      <w:r>
        <w:tab/>
      </w:r>
      <w:r>
        <w:fldChar w:fldCharType="begin"/>
      </w:r>
      <w:r>
        <w:instrText xml:space="preserve"> PAGEREF _Toc20679 \h </w:instrText>
      </w:r>
      <w:r>
        <w:fldChar w:fldCharType="separate"/>
      </w:r>
      <w:r>
        <w:t>3</w:t>
      </w:r>
      <w:r>
        <w:fldChar w:fldCharType="end"/>
      </w:r>
      <w:r>
        <w:rPr>
          <w:rFonts w:hint="eastAsia" w:ascii="仿宋" w:hAnsi="仿宋" w:eastAsia="仿宋" w:cs="仿宋"/>
          <w:color w:val="auto"/>
          <w:highlight w:val="none"/>
        </w:rPr>
        <w:fldChar w:fldCharType="end"/>
      </w:r>
    </w:p>
    <w:p w14:paraId="70AA45A0">
      <w:pPr>
        <w:pStyle w:val="21"/>
        <w:tabs>
          <w:tab w:val="right" w:leader="dot" w:pos="8277"/>
          <w:tab w:val="clear" w:pos="941"/>
          <w:tab w:val="clear" w:pos="9629"/>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_Toc20648 </w:instrText>
      </w:r>
      <w:r>
        <w:rPr>
          <w:rFonts w:hint="eastAsia" w:ascii="仿宋" w:hAnsi="仿宋" w:eastAsia="仿宋" w:cs="仿宋"/>
          <w:highlight w:val="none"/>
        </w:rPr>
        <w:fldChar w:fldCharType="separate"/>
      </w:r>
      <w:r>
        <w:rPr>
          <w:rFonts w:hint="eastAsia" w:ascii="仿宋_GB2312" w:hAnsi="仿宋_GB2312" w:eastAsia="仿宋_GB2312" w:cs="Times New Roman"/>
          <w:bCs/>
          <w:kern w:val="2"/>
          <w:szCs w:val="32"/>
          <w:lang w:val="en-US" w:eastAsia="zh-CN" w:bidi="ar-SA"/>
        </w:rPr>
        <w:t>五、</w:t>
      </w:r>
      <w:r>
        <w:rPr>
          <w:rFonts w:hint="eastAsia"/>
          <w:highlight w:val="none"/>
          <w:lang w:val="en-US" w:eastAsia="zh-CN"/>
        </w:rPr>
        <w:t>采购</w:t>
      </w:r>
      <w:r>
        <w:rPr>
          <w:rFonts w:hint="eastAsia"/>
          <w:highlight w:val="none"/>
        </w:rPr>
        <w:t>方式</w:t>
      </w:r>
      <w:r>
        <w:rPr>
          <w:rFonts w:hint="eastAsia"/>
          <w:highlight w:val="none"/>
          <w:lang w:eastAsia="zh-CN"/>
        </w:rPr>
        <w:t>：</w:t>
      </w:r>
      <w:r>
        <w:rPr>
          <w:rFonts w:hint="eastAsia"/>
          <w:highlight w:val="none"/>
          <w:lang w:val="en-US" w:eastAsia="zh-CN"/>
        </w:rPr>
        <w:t>竞争性磋商</w:t>
      </w:r>
      <w:r>
        <w:tab/>
      </w:r>
      <w:r>
        <w:fldChar w:fldCharType="begin"/>
      </w:r>
      <w:r>
        <w:instrText xml:space="preserve"> PAGEREF _Toc20648 \h </w:instrText>
      </w:r>
      <w:r>
        <w:fldChar w:fldCharType="separate"/>
      </w:r>
      <w:r>
        <w:t>4</w:t>
      </w:r>
      <w:r>
        <w:fldChar w:fldCharType="end"/>
      </w:r>
      <w:r>
        <w:rPr>
          <w:rFonts w:hint="eastAsia" w:ascii="仿宋" w:hAnsi="仿宋" w:eastAsia="仿宋" w:cs="仿宋"/>
          <w:color w:val="auto"/>
          <w:highlight w:val="none"/>
        </w:rPr>
        <w:fldChar w:fldCharType="end"/>
      </w:r>
    </w:p>
    <w:p w14:paraId="4F5E32BE">
      <w:pPr>
        <w:pStyle w:val="21"/>
        <w:tabs>
          <w:tab w:val="right" w:leader="dot" w:pos="8277"/>
          <w:tab w:val="clear" w:pos="941"/>
          <w:tab w:val="clear" w:pos="9629"/>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_Toc2042 </w:instrText>
      </w:r>
      <w:r>
        <w:rPr>
          <w:rFonts w:hint="eastAsia" w:ascii="仿宋" w:hAnsi="仿宋" w:eastAsia="仿宋" w:cs="仿宋"/>
          <w:highlight w:val="none"/>
        </w:rPr>
        <w:fldChar w:fldCharType="separate"/>
      </w:r>
      <w:r>
        <w:rPr>
          <w:rFonts w:hint="eastAsia"/>
          <w:highlight w:val="none"/>
        </w:rPr>
        <w:t>六、文件的获取</w:t>
      </w:r>
      <w:r>
        <w:tab/>
      </w:r>
      <w:r>
        <w:fldChar w:fldCharType="begin"/>
      </w:r>
      <w:r>
        <w:instrText xml:space="preserve"> PAGEREF _Toc2042 \h </w:instrText>
      </w:r>
      <w:r>
        <w:fldChar w:fldCharType="separate"/>
      </w:r>
      <w:r>
        <w:t>4</w:t>
      </w:r>
      <w:r>
        <w:fldChar w:fldCharType="end"/>
      </w:r>
      <w:r>
        <w:rPr>
          <w:rFonts w:hint="eastAsia" w:ascii="仿宋" w:hAnsi="仿宋" w:eastAsia="仿宋" w:cs="仿宋"/>
          <w:color w:val="auto"/>
          <w:highlight w:val="none"/>
        </w:rPr>
        <w:fldChar w:fldCharType="end"/>
      </w:r>
    </w:p>
    <w:p w14:paraId="73576424">
      <w:pPr>
        <w:pStyle w:val="21"/>
        <w:tabs>
          <w:tab w:val="right" w:leader="dot" w:pos="8277"/>
          <w:tab w:val="clear" w:pos="941"/>
          <w:tab w:val="clear" w:pos="9629"/>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_Toc6095 </w:instrText>
      </w:r>
      <w:r>
        <w:rPr>
          <w:rFonts w:hint="eastAsia" w:ascii="仿宋" w:hAnsi="仿宋" w:eastAsia="仿宋" w:cs="仿宋"/>
          <w:highlight w:val="none"/>
        </w:rPr>
        <w:fldChar w:fldCharType="separate"/>
      </w:r>
      <w:r>
        <w:rPr>
          <w:rFonts w:hint="eastAsia"/>
          <w:highlight w:val="none"/>
        </w:rPr>
        <w:t>七、</w:t>
      </w:r>
      <w:r>
        <w:rPr>
          <w:rFonts w:hint="eastAsia"/>
          <w:highlight w:val="none"/>
          <w:lang w:eastAsia="zh-CN"/>
        </w:rPr>
        <w:t>磋商</w:t>
      </w:r>
      <w:r>
        <w:rPr>
          <w:rFonts w:hint="eastAsia"/>
          <w:highlight w:val="none"/>
        </w:rPr>
        <w:t>保证金</w:t>
      </w:r>
      <w:r>
        <w:tab/>
      </w:r>
      <w:r>
        <w:fldChar w:fldCharType="begin"/>
      </w:r>
      <w:r>
        <w:instrText xml:space="preserve"> PAGEREF _Toc6095 \h </w:instrText>
      </w:r>
      <w:r>
        <w:fldChar w:fldCharType="separate"/>
      </w:r>
      <w:r>
        <w:t>4</w:t>
      </w:r>
      <w:r>
        <w:fldChar w:fldCharType="end"/>
      </w:r>
      <w:r>
        <w:rPr>
          <w:rFonts w:hint="eastAsia" w:ascii="仿宋" w:hAnsi="仿宋" w:eastAsia="仿宋" w:cs="仿宋"/>
          <w:color w:val="auto"/>
          <w:highlight w:val="none"/>
        </w:rPr>
        <w:fldChar w:fldCharType="end"/>
      </w:r>
    </w:p>
    <w:p w14:paraId="572AFFA4">
      <w:pPr>
        <w:pStyle w:val="21"/>
        <w:tabs>
          <w:tab w:val="right" w:leader="dot" w:pos="8277"/>
          <w:tab w:val="clear" w:pos="941"/>
          <w:tab w:val="clear" w:pos="9629"/>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_Toc30431 </w:instrText>
      </w:r>
      <w:r>
        <w:rPr>
          <w:rFonts w:hint="eastAsia" w:ascii="仿宋" w:hAnsi="仿宋" w:eastAsia="仿宋" w:cs="仿宋"/>
          <w:highlight w:val="none"/>
        </w:rPr>
        <w:fldChar w:fldCharType="separate"/>
      </w:r>
      <w:r>
        <w:rPr>
          <w:rFonts w:hint="eastAsia"/>
          <w:highlight w:val="none"/>
        </w:rPr>
        <w:t>八、响应文件递交</w:t>
      </w:r>
      <w:r>
        <w:tab/>
      </w:r>
      <w:r>
        <w:fldChar w:fldCharType="begin"/>
      </w:r>
      <w:r>
        <w:instrText xml:space="preserve"> PAGEREF _Toc30431 \h </w:instrText>
      </w:r>
      <w:r>
        <w:fldChar w:fldCharType="separate"/>
      </w:r>
      <w:r>
        <w:t>4</w:t>
      </w:r>
      <w:r>
        <w:fldChar w:fldCharType="end"/>
      </w:r>
      <w:r>
        <w:rPr>
          <w:rFonts w:hint="eastAsia" w:ascii="仿宋" w:hAnsi="仿宋" w:eastAsia="仿宋" w:cs="仿宋"/>
          <w:color w:val="auto"/>
          <w:highlight w:val="none"/>
        </w:rPr>
        <w:fldChar w:fldCharType="end"/>
      </w:r>
    </w:p>
    <w:p w14:paraId="2996BE94">
      <w:pPr>
        <w:pStyle w:val="21"/>
        <w:tabs>
          <w:tab w:val="right" w:leader="dot" w:pos="8277"/>
          <w:tab w:val="clear" w:pos="941"/>
          <w:tab w:val="clear" w:pos="9629"/>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_Toc24117 </w:instrText>
      </w:r>
      <w:r>
        <w:rPr>
          <w:rFonts w:hint="eastAsia" w:ascii="仿宋" w:hAnsi="仿宋" w:eastAsia="仿宋" w:cs="仿宋"/>
          <w:highlight w:val="none"/>
        </w:rPr>
        <w:fldChar w:fldCharType="separate"/>
      </w:r>
      <w:r>
        <w:rPr>
          <w:rFonts w:hint="eastAsia" w:cs="Times New Roman"/>
          <w:bCs/>
          <w:szCs w:val="32"/>
          <w:highlight w:val="none"/>
          <w:lang w:val="en-US" w:eastAsia="zh-CN" w:bidi="ar-SA"/>
        </w:rPr>
        <w:t>九、发布媒介</w:t>
      </w:r>
      <w:r>
        <w:tab/>
      </w:r>
      <w:r>
        <w:fldChar w:fldCharType="begin"/>
      </w:r>
      <w:r>
        <w:instrText xml:space="preserve"> PAGEREF _Toc24117 \h </w:instrText>
      </w:r>
      <w:r>
        <w:fldChar w:fldCharType="separate"/>
      </w:r>
      <w:r>
        <w:t>5</w:t>
      </w:r>
      <w:r>
        <w:fldChar w:fldCharType="end"/>
      </w:r>
      <w:r>
        <w:rPr>
          <w:rFonts w:hint="eastAsia" w:ascii="仿宋" w:hAnsi="仿宋" w:eastAsia="仿宋" w:cs="仿宋"/>
          <w:color w:val="auto"/>
          <w:highlight w:val="none"/>
        </w:rPr>
        <w:fldChar w:fldCharType="end"/>
      </w:r>
    </w:p>
    <w:p w14:paraId="58393657">
      <w:pPr>
        <w:pStyle w:val="21"/>
        <w:tabs>
          <w:tab w:val="right" w:leader="dot" w:pos="8277"/>
          <w:tab w:val="clear" w:pos="941"/>
          <w:tab w:val="clear" w:pos="9629"/>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_Toc18964 </w:instrText>
      </w:r>
      <w:r>
        <w:rPr>
          <w:rFonts w:hint="eastAsia" w:ascii="仿宋" w:hAnsi="仿宋" w:eastAsia="仿宋" w:cs="仿宋"/>
          <w:highlight w:val="none"/>
        </w:rPr>
        <w:fldChar w:fldCharType="separate"/>
      </w:r>
      <w:r>
        <w:rPr>
          <w:rFonts w:hint="eastAsia"/>
          <w:highlight w:val="none"/>
          <w:lang w:val="en-US" w:eastAsia="zh-CN"/>
        </w:rPr>
        <w:t>十</w:t>
      </w:r>
      <w:r>
        <w:rPr>
          <w:rFonts w:hint="eastAsia"/>
          <w:highlight w:val="none"/>
        </w:rPr>
        <w:t>、联系方式</w:t>
      </w:r>
      <w:r>
        <w:tab/>
      </w:r>
      <w:r>
        <w:fldChar w:fldCharType="begin"/>
      </w:r>
      <w:r>
        <w:instrText xml:space="preserve"> PAGEREF _Toc18964 \h </w:instrText>
      </w:r>
      <w:r>
        <w:fldChar w:fldCharType="separate"/>
      </w:r>
      <w:r>
        <w:t>5</w:t>
      </w:r>
      <w:r>
        <w:fldChar w:fldCharType="end"/>
      </w:r>
      <w:r>
        <w:rPr>
          <w:rFonts w:hint="eastAsia" w:ascii="仿宋" w:hAnsi="仿宋" w:eastAsia="仿宋" w:cs="仿宋"/>
          <w:color w:val="auto"/>
          <w:highlight w:val="none"/>
        </w:rPr>
        <w:fldChar w:fldCharType="end"/>
      </w:r>
    </w:p>
    <w:p w14:paraId="29F47FD0">
      <w:pPr>
        <w:pStyle w:val="21"/>
        <w:tabs>
          <w:tab w:val="right" w:leader="dot" w:pos="8277"/>
          <w:tab w:val="clear" w:pos="941"/>
          <w:tab w:val="clear" w:pos="9629"/>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_Toc21124 </w:instrText>
      </w:r>
      <w:r>
        <w:rPr>
          <w:rFonts w:hint="eastAsia" w:ascii="仿宋" w:hAnsi="仿宋" w:eastAsia="仿宋" w:cs="仿宋"/>
          <w:highlight w:val="none"/>
        </w:rPr>
        <w:fldChar w:fldCharType="separate"/>
      </w:r>
      <w:r>
        <w:rPr>
          <w:rFonts w:hint="eastAsia"/>
          <w:highlight w:val="none"/>
        </w:rPr>
        <w:t>十</w:t>
      </w:r>
      <w:r>
        <w:rPr>
          <w:rFonts w:hint="eastAsia"/>
          <w:highlight w:val="none"/>
          <w:lang w:val="en-US" w:eastAsia="zh-CN"/>
        </w:rPr>
        <w:t>一</w:t>
      </w:r>
      <w:r>
        <w:rPr>
          <w:rFonts w:hint="eastAsia"/>
          <w:highlight w:val="none"/>
        </w:rPr>
        <w:t>、采购监督机构</w:t>
      </w:r>
      <w:r>
        <w:tab/>
      </w:r>
      <w:r>
        <w:fldChar w:fldCharType="begin"/>
      </w:r>
      <w:r>
        <w:instrText xml:space="preserve"> PAGEREF _Toc21124 \h </w:instrText>
      </w:r>
      <w:r>
        <w:fldChar w:fldCharType="separate"/>
      </w:r>
      <w:r>
        <w:t>5</w:t>
      </w:r>
      <w:r>
        <w:fldChar w:fldCharType="end"/>
      </w:r>
      <w:r>
        <w:rPr>
          <w:rFonts w:hint="eastAsia" w:ascii="仿宋" w:hAnsi="仿宋" w:eastAsia="仿宋" w:cs="仿宋"/>
          <w:color w:val="auto"/>
          <w:highlight w:val="none"/>
        </w:rPr>
        <w:fldChar w:fldCharType="end"/>
      </w:r>
    </w:p>
    <w:p w14:paraId="7EDFF6A5">
      <w:pPr>
        <w:pStyle w:val="20"/>
        <w:tabs>
          <w:tab w:val="right" w:leader="dot" w:pos="8277"/>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_Toc32762 </w:instrText>
      </w:r>
      <w:r>
        <w:rPr>
          <w:rFonts w:hint="eastAsia" w:ascii="仿宋" w:hAnsi="仿宋" w:eastAsia="仿宋" w:cs="仿宋"/>
          <w:highlight w:val="none"/>
        </w:rPr>
        <w:fldChar w:fldCharType="separate"/>
      </w:r>
      <w:r>
        <w:rPr>
          <w:rFonts w:hint="eastAsia"/>
          <w:highlight w:val="none"/>
          <w:lang w:val="en-US" w:eastAsia="zh-CN"/>
        </w:rPr>
        <w:t>第二章 供应商须知</w:t>
      </w:r>
      <w:r>
        <w:tab/>
      </w:r>
      <w:r>
        <w:fldChar w:fldCharType="begin"/>
      </w:r>
      <w:r>
        <w:instrText xml:space="preserve"> PAGEREF _Toc32762 \h </w:instrText>
      </w:r>
      <w:r>
        <w:fldChar w:fldCharType="separate"/>
      </w:r>
      <w:r>
        <w:t>6</w:t>
      </w:r>
      <w:r>
        <w:fldChar w:fldCharType="end"/>
      </w:r>
      <w:r>
        <w:rPr>
          <w:rFonts w:hint="eastAsia" w:ascii="仿宋" w:hAnsi="仿宋" w:eastAsia="仿宋" w:cs="仿宋"/>
          <w:color w:val="auto"/>
          <w:highlight w:val="none"/>
        </w:rPr>
        <w:fldChar w:fldCharType="end"/>
      </w:r>
    </w:p>
    <w:p w14:paraId="0B6EA655">
      <w:pPr>
        <w:pStyle w:val="21"/>
        <w:tabs>
          <w:tab w:val="right" w:leader="dot" w:pos="8277"/>
          <w:tab w:val="clear" w:pos="941"/>
          <w:tab w:val="clear" w:pos="9629"/>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_Toc25206 </w:instrText>
      </w:r>
      <w:r>
        <w:rPr>
          <w:rFonts w:hint="eastAsia" w:ascii="仿宋" w:hAnsi="仿宋" w:eastAsia="仿宋" w:cs="仿宋"/>
          <w:highlight w:val="none"/>
        </w:rPr>
        <w:fldChar w:fldCharType="separate"/>
      </w:r>
      <w:r>
        <w:rPr>
          <w:rFonts w:hint="eastAsia" w:ascii="仿宋_GB2312" w:hAnsi="仿宋_GB2312" w:eastAsia="仿宋_GB2312" w:cs="Times New Roman"/>
          <w:bCs/>
          <w:kern w:val="2"/>
          <w:szCs w:val="32"/>
          <w:lang w:val="en-US" w:eastAsia="zh-CN" w:bidi="ar-SA"/>
        </w:rPr>
        <w:t>一、</w:t>
      </w:r>
      <w:r>
        <w:rPr>
          <w:rFonts w:hint="eastAsia"/>
          <w:highlight w:val="none"/>
        </w:rPr>
        <w:t>供应商须知前附表</w:t>
      </w:r>
      <w:r>
        <w:tab/>
      </w:r>
      <w:r>
        <w:fldChar w:fldCharType="begin"/>
      </w:r>
      <w:r>
        <w:instrText xml:space="preserve"> PAGEREF _Toc25206 \h </w:instrText>
      </w:r>
      <w:r>
        <w:fldChar w:fldCharType="separate"/>
      </w:r>
      <w:r>
        <w:t>6</w:t>
      </w:r>
      <w:r>
        <w:fldChar w:fldCharType="end"/>
      </w:r>
      <w:r>
        <w:rPr>
          <w:rFonts w:hint="eastAsia" w:ascii="仿宋" w:hAnsi="仿宋" w:eastAsia="仿宋" w:cs="仿宋"/>
          <w:color w:val="auto"/>
          <w:highlight w:val="none"/>
        </w:rPr>
        <w:fldChar w:fldCharType="end"/>
      </w:r>
    </w:p>
    <w:p w14:paraId="2480D31B">
      <w:pPr>
        <w:pStyle w:val="21"/>
        <w:tabs>
          <w:tab w:val="right" w:leader="dot" w:pos="8277"/>
          <w:tab w:val="clear" w:pos="941"/>
          <w:tab w:val="clear" w:pos="9629"/>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_Toc31961 </w:instrText>
      </w:r>
      <w:r>
        <w:rPr>
          <w:rFonts w:hint="eastAsia" w:ascii="仿宋" w:hAnsi="仿宋" w:eastAsia="仿宋" w:cs="仿宋"/>
          <w:highlight w:val="none"/>
        </w:rPr>
        <w:fldChar w:fldCharType="separate"/>
      </w:r>
      <w:r>
        <w:rPr>
          <w:rFonts w:hint="eastAsia" w:ascii="仿宋_GB2312" w:hAnsi="仿宋_GB2312" w:eastAsia="仿宋_GB2312" w:cs="Times New Roman"/>
          <w:bCs/>
          <w:kern w:val="2"/>
          <w:szCs w:val="32"/>
          <w:lang w:val="en-US" w:eastAsia="zh-CN" w:bidi="ar-SA"/>
        </w:rPr>
        <w:t>二、</w:t>
      </w:r>
      <w:r>
        <w:rPr>
          <w:rFonts w:hint="eastAsia"/>
          <w:highlight w:val="none"/>
        </w:rPr>
        <w:t>说明</w:t>
      </w:r>
      <w:r>
        <w:tab/>
      </w:r>
      <w:r>
        <w:fldChar w:fldCharType="begin"/>
      </w:r>
      <w:r>
        <w:instrText xml:space="preserve"> PAGEREF _Toc31961 \h </w:instrText>
      </w:r>
      <w:r>
        <w:fldChar w:fldCharType="separate"/>
      </w:r>
      <w:r>
        <w:t>12</w:t>
      </w:r>
      <w:r>
        <w:fldChar w:fldCharType="end"/>
      </w:r>
      <w:r>
        <w:rPr>
          <w:rFonts w:hint="eastAsia" w:ascii="仿宋" w:hAnsi="仿宋" w:eastAsia="仿宋" w:cs="仿宋"/>
          <w:color w:val="auto"/>
          <w:highlight w:val="none"/>
        </w:rPr>
        <w:fldChar w:fldCharType="end"/>
      </w:r>
    </w:p>
    <w:p w14:paraId="2D7E4127">
      <w:pPr>
        <w:pStyle w:val="21"/>
        <w:tabs>
          <w:tab w:val="right" w:leader="dot" w:pos="8277"/>
          <w:tab w:val="clear" w:pos="941"/>
          <w:tab w:val="clear" w:pos="9629"/>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_Toc8413 </w:instrText>
      </w:r>
      <w:r>
        <w:rPr>
          <w:rFonts w:hint="eastAsia" w:ascii="仿宋" w:hAnsi="仿宋" w:eastAsia="仿宋" w:cs="仿宋"/>
          <w:highlight w:val="none"/>
        </w:rPr>
        <w:fldChar w:fldCharType="separate"/>
      </w:r>
      <w:r>
        <w:rPr>
          <w:rFonts w:hint="eastAsia" w:ascii="仿宋_GB2312" w:hAnsi="仿宋_GB2312" w:eastAsia="仿宋_GB2312" w:cs="Times New Roman"/>
          <w:bCs/>
          <w:kern w:val="2"/>
          <w:szCs w:val="32"/>
          <w:lang w:val="en-US" w:eastAsia="zh-CN" w:bidi="ar-SA"/>
        </w:rPr>
        <w:t>三、</w:t>
      </w:r>
      <w:r>
        <w:rPr>
          <w:rFonts w:hint="eastAsia"/>
          <w:highlight w:val="none"/>
        </w:rPr>
        <w:t>磋商文件</w:t>
      </w:r>
      <w:r>
        <w:tab/>
      </w:r>
      <w:r>
        <w:fldChar w:fldCharType="begin"/>
      </w:r>
      <w:r>
        <w:instrText xml:space="preserve"> PAGEREF _Toc8413 \h </w:instrText>
      </w:r>
      <w:r>
        <w:fldChar w:fldCharType="separate"/>
      </w:r>
      <w:r>
        <w:t>13</w:t>
      </w:r>
      <w:r>
        <w:fldChar w:fldCharType="end"/>
      </w:r>
      <w:r>
        <w:rPr>
          <w:rFonts w:hint="eastAsia" w:ascii="仿宋" w:hAnsi="仿宋" w:eastAsia="仿宋" w:cs="仿宋"/>
          <w:color w:val="auto"/>
          <w:highlight w:val="none"/>
        </w:rPr>
        <w:fldChar w:fldCharType="end"/>
      </w:r>
    </w:p>
    <w:p w14:paraId="1FE614AC">
      <w:pPr>
        <w:pStyle w:val="21"/>
        <w:tabs>
          <w:tab w:val="right" w:leader="dot" w:pos="8277"/>
          <w:tab w:val="clear" w:pos="941"/>
          <w:tab w:val="clear" w:pos="9629"/>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_Toc28988 </w:instrText>
      </w:r>
      <w:r>
        <w:rPr>
          <w:rFonts w:hint="eastAsia" w:ascii="仿宋" w:hAnsi="仿宋" w:eastAsia="仿宋" w:cs="仿宋"/>
          <w:highlight w:val="none"/>
        </w:rPr>
        <w:fldChar w:fldCharType="separate"/>
      </w:r>
      <w:r>
        <w:rPr>
          <w:rFonts w:hint="eastAsia" w:ascii="仿宋_GB2312" w:hAnsi="仿宋_GB2312" w:eastAsia="仿宋_GB2312" w:cs="Times New Roman"/>
          <w:bCs/>
          <w:kern w:val="2"/>
          <w:szCs w:val="32"/>
          <w:lang w:val="en-US" w:eastAsia="zh-CN" w:bidi="ar-SA"/>
        </w:rPr>
        <w:t>四、</w:t>
      </w:r>
      <w:r>
        <w:rPr>
          <w:rFonts w:hint="eastAsia"/>
          <w:highlight w:val="none"/>
        </w:rPr>
        <w:t>响应文件的编制</w:t>
      </w:r>
      <w:r>
        <w:tab/>
      </w:r>
      <w:r>
        <w:fldChar w:fldCharType="begin"/>
      </w:r>
      <w:r>
        <w:instrText xml:space="preserve"> PAGEREF _Toc28988 \h </w:instrText>
      </w:r>
      <w:r>
        <w:fldChar w:fldCharType="separate"/>
      </w:r>
      <w:r>
        <w:t>13</w:t>
      </w:r>
      <w:r>
        <w:fldChar w:fldCharType="end"/>
      </w:r>
      <w:r>
        <w:rPr>
          <w:rFonts w:hint="eastAsia" w:ascii="仿宋" w:hAnsi="仿宋" w:eastAsia="仿宋" w:cs="仿宋"/>
          <w:color w:val="auto"/>
          <w:highlight w:val="none"/>
        </w:rPr>
        <w:fldChar w:fldCharType="end"/>
      </w:r>
    </w:p>
    <w:p w14:paraId="2C5C7D74">
      <w:pPr>
        <w:pStyle w:val="21"/>
        <w:tabs>
          <w:tab w:val="right" w:leader="dot" w:pos="8277"/>
          <w:tab w:val="clear" w:pos="941"/>
          <w:tab w:val="clear" w:pos="9629"/>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_Toc18705 </w:instrText>
      </w:r>
      <w:r>
        <w:rPr>
          <w:rFonts w:hint="eastAsia" w:ascii="仿宋" w:hAnsi="仿宋" w:eastAsia="仿宋" w:cs="仿宋"/>
          <w:highlight w:val="none"/>
        </w:rPr>
        <w:fldChar w:fldCharType="separate"/>
      </w:r>
      <w:r>
        <w:rPr>
          <w:rFonts w:hint="eastAsia" w:ascii="仿宋_GB2312" w:hAnsi="仿宋_GB2312" w:eastAsia="仿宋_GB2312" w:cs="Times New Roman"/>
          <w:bCs/>
          <w:kern w:val="2"/>
          <w:szCs w:val="32"/>
          <w:lang w:val="en-US" w:eastAsia="zh-CN" w:bidi="ar-SA"/>
        </w:rPr>
        <w:t>五、</w:t>
      </w:r>
      <w:r>
        <w:rPr>
          <w:rFonts w:hint="eastAsia"/>
          <w:highlight w:val="none"/>
        </w:rPr>
        <w:t>响应文件的递交</w:t>
      </w:r>
      <w:r>
        <w:tab/>
      </w:r>
      <w:r>
        <w:fldChar w:fldCharType="begin"/>
      </w:r>
      <w:r>
        <w:instrText xml:space="preserve"> PAGEREF _Toc18705 \h </w:instrText>
      </w:r>
      <w:r>
        <w:fldChar w:fldCharType="separate"/>
      </w:r>
      <w:r>
        <w:t>15</w:t>
      </w:r>
      <w:r>
        <w:fldChar w:fldCharType="end"/>
      </w:r>
      <w:r>
        <w:rPr>
          <w:rFonts w:hint="eastAsia" w:ascii="仿宋" w:hAnsi="仿宋" w:eastAsia="仿宋" w:cs="仿宋"/>
          <w:color w:val="auto"/>
          <w:highlight w:val="none"/>
        </w:rPr>
        <w:fldChar w:fldCharType="end"/>
      </w:r>
    </w:p>
    <w:p w14:paraId="0D4BF5A3">
      <w:pPr>
        <w:pStyle w:val="21"/>
        <w:tabs>
          <w:tab w:val="right" w:leader="dot" w:pos="8277"/>
          <w:tab w:val="clear" w:pos="941"/>
          <w:tab w:val="clear" w:pos="9629"/>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_Toc11305 </w:instrText>
      </w:r>
      <w:r>
        <w:rPr>
          <w:rFonts w:hint="eastAsia" w:ascii="仿宋" w:hAnsi="仿宋" w:eastAsia="仿宋" w:cs="仿宋"/>
          <w:highlight w:val="none"/>
        </w:rPr>
        <w:fldChar w:fldCharType="separate"/>
      </w:r>
      <w:r>
        <w:rPr>
          <w:rFonts w:hint="eastAsia"/>
          <w:bCs/>
          <w:highlight w:val="none"/>
          <w:lang w:val="en-US" w:eastAsia="zh-CN"/>
        </w:rPr>
        <w:t>17</w:t>
      </w:r>
      <w:r>
        <w:rPr>
          <w:rFonts w:hint="eastAsia"/>
          <w:bCs/>
          <w:highlight w:val="none"/>
        </w:rPr>
        <w:t xml:space="preserve">. </w:t>
      </w:r>
      <w:r>
        <w:rPr>
          <w:rFonts w:hint="eastAsia"/>
          <w:highlight w:val="none"/>
        </w:rPr>
        <w:t>响应文件的递交</w:t>
      </w:r>
      <w:r>
        <w:tab/>
      </w:r>
      <w:r>
        <w:fldChar w:fldCharType="begin"/>
      </w:r>
      <w:r>
        <w:instrText xml:space="preserve"> PAGEREF _Toc11305 \h </w:instrText>
      </w:r>
      <w:r>
        <w:fldChar w:fldCharType="separate"/>
      </w:r>
      <w:r>
        <w:t>15</w:t>
      </w:r>
      <w:r>
        <w:fldChar w:fldCharType="end"/>
      </w:r>
      <w:r>
        <w:rPr>
          <w:rFonts w:hint="eastAsia" w:ascii="仿宋" w:hAnsi="仿宋" w:eastAsia="仿宋" w:cs="仿宋"/>
          <w:color w:val="auto"/>
          <w:highlight w:val="none"/>
        </w:rPr>
        <w:fldChar w:fldCharType="end"/>
      </w:r>
    </w:p>
    <w:p w14:paraId="2D0DE26F">
      <w:pPr>
        <w:pStyle w:val="21"/>
        <w:tabs>
          <w:tab w:val="right" w:leader="dot" w:pos="8277"/>
          <w:tab w:val="clear" w:pos="941"/>
          <w:tab w:val="clear" w:pos="9629"/>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_Toc13002 </w:instrText>
      </w:r>
      <w:r>
        <w:rPr>
          <w:rFonts w:hint="eastAsia" w:ascii="仿宋" w:hAnsi="仿宋" w:eastAsia="仿宋" w:cs="仿宋"/>
          <w:highlight w:val="none"/>
        </w:rPr>
        <w:fldChar w:fldCharType="separate"/>
      </w:r>
      <w:r>
        <w:rPr>
          <w:rFonts w:hint="eastAsia" w:ascii="仿宋_GB2312" w:hAnsi="仿宋_GB2312" w:eastAsia="仿宋_GB2312" w:cs="Times New Roman"/>
          <w:bCs/>
          <w:kern w:val="2"/>
          <w:szCs w:val="32"/>
          <w:lang w:val="en-US" w:eastAsia="zh-CN" w:bidi="ar-SA"/>
        </w:rPr>
        <w:t>六、</w:t>
      </w:r>
      <w:r>
        <w:rPr>
          <w:rFonts w:hint="eastAsia"/>
          <w:highlight w:val="none"/>
        </w:rPr>
        <w:t>磋商</w:t>
      </w:r>
      <w:r>
        <w:tab/>
      </w:r>
      <w:r>
        <w:fldChar w:fldCharType="begin"/>
      </w:r>
      <w:r>
        <w:instrText xml:space="preserve"> PAGEREF _Toc13002 \h </w:instrText>
      </w:r>
      <w:r>
        <w:fldChar w:fldCharType="separate"/>
      </w:r>
      <w:r>
        <w:t>16</w:t>
      </w:r>
      <w:r>
        <w:fldChar w:fldCharType="end"/>
      </w:r>
      <w:r>
        <w:rPr>
          <w:rFonts w:hint="eastAsia" w:ascii="仿宋" w:hAnsi="仿宋" w:eastAsia="仿宋" w:cs="仿宋"/>
          <w:color w:val="auto"/>
          <w:highlight w:val="none"/>
        </w:rPr>
        <w:fldChar w:fldCharType="end"/>
      </w:r>
    </w:p>
    <w:p w14:paraId="004D2A8B">
      <w:pPr>
        <w:pStyle w:val="21"/>
        <w:tabs>
          <w:tab w:val="right" w:leader="dot" w:pos="8277"/>
          <w:tab w:val="clear" w:pos="941"/>
          <w:tab w:val="clear" w:pos="9629"/>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_Toc32 </w:instrText>
      </w:r>
      <w:r>
        <w:rPr>
          <w:rFonts w:hint="eastAsia" w:ascii="仿宋" w:hAnsi="仿宋" w:eastAsia="仿宋" w:cs="仿宋"/>
          <w:highlight w:val="none"/>
        </w:rPr>
        <w:fldChar w:fldCharType="separate"/>
      </w:r>
      <w:r>
        <w:rPr>
          <w:rFonts w:hint="eastAsia" w:ascii="仿宋_GB2312" w:hAnsi="仿宋_GB2312" w:eastAsia="仿宋_GB2312" w:cs="Times New Roman"/>
          <w:bCs/>
          <w:kern w:val="2"/>
          <w:szCs w:val="32"/>
          <w:lang w:val="en-US" w:eastAsia="zh-CN" w:bidi="ar-SA"/>
        </w:rPr>
        <w:t>七、</w:t>
      </w:r>
      <w:r>
        <w:rPr>
          <w:rFonts w:hint="eastAsia"/>
          <w:highlight w:val="none"/>
        </w:rPr>
        <w:t>推荐成交候选供应商、确定成交供应商</w:t>
      </w:r>
      <w:r>
        <w:tab/>
      </w:r>
      <w:r>
        <w:fldChar w:fldCharType="begin"/>
      </w:r>
      <w:r>
        <w:instrText xml:space="preserve"> PAGEREF _Toc32 \h </w:instrText>
      </w:r>
      <w:r>
        <w:fldChar w:fldCharType="separate"/>
      </w:r>
      <w:r>
        <w:t>17</w:t>
      </w:r>
      <w:r>
        <w:fldChar w:fldCharType="end"/>
      </w:r>
      <w:r>
        <w:rPr>
          <w:rFonts w:hint="eastAsia" w:ascii="仿宋" w:hAnsi="仿宋" w:eastAsia="仿宋" w:cs="仿宋"/>
          <w:color w:val="auto"/>
          <w:highlight w:val="none"/>
        </w:rPr>
        <w:fldChar w:fldCharType="end"/>
      </w:r>
    </w:p>
    <w:p w14:paraId="48E4C0B5">
      <w:pPr>
        <w:pStyle w:val="21"/>
        <w:tabs>
          <w:tab w:val="right" w:leader="dot" w:pos="8277"/>
          <w:tab w:val="clear" w:pos="941"/>
          <w:tab w:val="clear" w:pos="9629"/>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_Toc24992 </w:instrText>
      </w:r>
      <w:r>
        <w:rPr>
          <w:rFonts w:hint="eastAsia" w:ascii="仿宋" w:hAnsi="仿宋" w:eastAsia="仿宋" w:cs="仿宋"/>
          <w:highlight w:val="none"/>
        </w:rPr>
        <w:fldChar w:fldCharType="separate"/>
      </w:r>
      <w:r>
        <w:rPr>
          <w:rFonts w:hint="eastAsia" w:ascii="仿宋_GB2312" w:hAnsi="仿宋_GB2312" w:eastAsia="仿宋_GB2312" w:cs="Times New Roman"/>
          <w:bCs/>
          <w:kern w:val="2"/>
          <w:szCs w:val="32"/>
          <w:lang w:val="en-US" w:eastAsia="zh-CN" w:bidi="ar-SA"/>
        </w:rPr>
        <w:t>八、</w:t>
      </w:r>
      <w:r>
        <w:rPr>
          <w:rFonts w:hint="eastAsia"/>
          <w:highlight w:val="none"/>
        </w:rPr>
        <w:t>成交结果公告、成交通知书</w:t>
      </w:r>
      <w:r>
        <w:tab/>
      </w:r>
      <w:r>
        <w:fldChar w:fldCharType="begin"/>
      </w:r>
      <w:r>
        <w:instrText xml:space="preserve"> PAGEREF _Toc24992 \h </w:instrText>
      </w:r>
      <w:r>
        <w:fldChar w:fldCharType="separate"/>
      </w:r>
      <w:r>
        <w:t>17</w:t>
      </w:r>
      <w:r>
        <w:fldChar w:fldCharType="end"/>
      </w:r>
      <w:r>
        <w:rPr>
          <w:rFonts w:hint="eastAsia" w:ascii="仿宋" w:hAnsi="仿宋" w:eastAsia="仿宋" w:cs="仿宋"/>
          <w:color w:val="auto"/>
          <w:highlight w:val="none"/>
        </w:rPr>
        <w:fldChar w:fldCharType="end"/>
      </w:r>
    </w:p>
    <w:p w14:paraId="236AF444">
      <w:pPr>
        <w:pStyle w:val="21"/>
        <w:tabs>
          <w:tab w:val="right" w:leader="dot" w:pos="8277"/>
          <w:tab w:val="clear" w:pos="941"/>
          <w:tab w:val="clear" w:pos="9629"/>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_Toc22790 </w:instrText>
      </w:r>
      <w:r>
        <w:rPr>
          <w:rFonts w:hint="eastAsia" w:ascii="仿宋" w:hAnsi="仿宋" w:eastAsia="仿宋" w:cs="仿宋"/>
          <w:highlight w:val="none"/>
        </w:rPr>
        <w:fldChar w:fldCharType="separate"/>
      </w:r>
      <w:r>
        <w:rPr>
          <w:rFonts w:hint="eastAsia" w:ascii="仿宋_GB2312" w:hAnsi="仿宋_GB2312" w:eastAsia="仿宋_GB2312" w:cs="Times New Roman"/>
          <w:bCs/>
          <w:kern w:val="2"/>
          <w:szCs w:val="32"/>
          <w:lang w:val="en-US" w:eastAsia="zh-CN" w:bidi="ar-SA"/>
        </w:rPr>
        <w:t>九、</w:t>
      </w:r>
      <w:r>
        <w:rPr>
          <w:rFonts w:hint="eastAsia"/>
          <w:highlight w:val="none"/>
        </w:rPr>
        <w:t>履约保证金、签订合同</w:t>
      </w:r>
      <w:r>
        <w:tab/>
      </w:r>
      <w:r>
        <w:fldChar w:fldCharType="begin"/>
      </w:r>
      <w:r>
        <w:instrText xml:space="preserve"> PAGEREF _Toc22790 \h </w:instrText>
      </w:r>
      <w:r>
        <w:fldChar w:fldCharType="separate"/>
      </w:r>
      <w:r>
        <w:t>18</w:t>
      </w:r>
      <w:r>
        <w:fldChar w:fldCharType="end"/>
      </w:r>
      <w:r>
        <w:rPr>
          <w:rFonts w:hint="eastAsia" w:ascii="仿宋" w:hAnsi="仿宋" w:eastAsia="仿宋" w:cs="仿宋"/>
          <w:color w:val="auto"/>
          <w:highlight w:val="none"/>
        </w:rPr>
        <w:fldChar w:fldCharType="end"/>
      </w:r>
    </w:p>
    <w:p w14:paraId="6076AA8D">
      <w:pPr>
        <w:pStyle w:val="21"/>
        <w:tabs>
          <w:tab w:val="right" w:leader="dot" w:pos="8277"/>
          <w:tab w:val="clear" w:pos="941"/>
          <w:tab w:val="clear" w:pos="9629"/>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_Toc30163 </w:instrText>
      </w:r>
      <w:r>
        <w:rPr>
          <w:rFonts w:hint="eastAsia" w:ascii="仿宋" w:hAnsi="仿宋" w:eastAsia="仿宋" w:cs="仿宋"/>
          <w:highlight w:val="none"/>
        </w:rPr>
        <w:fldChar w:fldCharType="separate"/>
      </w:r>
      <w:r>
        <w:rPr>
          <w:rFonts w:hint="eastAsia" w:ascii="仿宋_GB2312" w:hAnsi="仿宋_GB2312" w:eastAsia="仿宋_GB2312" w:cs="Times New Roman"/>
          <w:bCs/>
          <w:kern w:val="2"/>
          <w:szCs w:val="32"/>
          <w:lang w:val="en-US" w:eastAsia="zh-CN" w:bidi="ar-SA"/>
        </w:rPr>
        <w:t>十、</w:t>
      </w:r>
      <w:r>
        <w:rPr>
          <w:rFonts w:hint="eastAsia"/>
          <w:highlight w:val="none"/>
        </w:rPr>
        <w:t>询问和质疑</w:t>
      </w:r>
      <w:r>
        <w:tab/>
      </w:r>
      <w:r>
        <w:fldChar w:fldCharType="begin"/>
      </w:r>
      <w:r>
        <w:instrText xml:space="preserve"> PAGEREF _Toc30163 \h </w:instrText>
      </w:r>
      <w:r>
        <w:fldChar w:fldCharType="separate"/>
      </w:r>
      <w:r>
        <w:t>18</w:t>
      </w:r>
      <w:r>
        <w:fldChar w:fldCharType="end"/>
      </w:r>
      <w:r>
        <w:rPr>
          <w:rFonts w:hint="eastAsia" w:ascii="仿宋" w:hAnsi="仿宋" w:eastAsia="仿宋" w:cs="仿宋"/>
          <w:color w:val="auto"/>
          <w:highlight w:val="none"/>
        </w:rPr>
        <w:fldChar w:fldCharType="end"/>
      </w:r>
    </w:p>
    <w:p w14:paraId="6C597496">
      <w:pPr>
        <w:pStyle w:val="21"/>
        <w:tabs>
          <w:tab w:val="right" w:leader="dot" w:pos="8277"/>
          <w:tab w:val="clear" w:pos="941"/>
          <w:tab w:val="clear" w:pos="9629"/>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_Toc21090 </w:instrText>
      </w:r>
      <w:r>
        <w:rPr>
          <w:rFonts w:hint="eastAsia" w:ascii="仿宋" w:hAnsi="仿宋" w:eastAsia="仿宋" w:cs="仿宋"/>
          <w:highlight w:val="none"/>
        </w:rPr>
        <w:fldChar w:fldCharType="separate"/>
      </w:r>
      <w:r>
        <w:rPr>
          <w:rFonts w:hint="eastAsia" w:ascii="仿宋_GB2312" w:hAnsi="仿宋_GB2312" w:eastAsia="仿宋_GB2312" w:cs="Times New Roman"/>
          <w:bCs/>
          <w:kern w:val="2"/>
          <w:szCs w:val="32"/>
          <w:lang w:val="en-US" w:eastAsia="zh-CN" w:bidi="ar-SA"/>
        </w:rPr>
        <w:t>十一、</w:t>
      </w:r>
      <w:r>
        <w:rPr>
          <w:rFonts w:hint="eastAsia"/>
          <w:highlight w:val="none"/>
          <w:lang w:val="en-US" w:eastAsia="zh-CN"/>
        </w:rPr>
        <w:t>其他规定</w:t>
      </w:r>
      <w:r>
        <w:tab/>
      </w:r>
      <w:r>
        <w:fldChar w:fldCharType="begin"/>
      </w:r>
      <w:r>
        <w:instrText xml:space="preserve"> PAGEREF _Toc21090 \h </w:instrText>
      </w:r>
      <w:r>
        <w:fldChar w:fldCharType="separate"/>
      </w:r>
      <w:r>
        <w:t>19</w:t>
      </w:r>
      <w:r>
        <w:fldChar w:fldCharType="end"/>
      </w:r>
      <w:r>
        <w:rPr>
          <w:rFonts w:hint="eastAsia" w:ascii="仿宋" w:hAnsi="仿宋" w:eastAsia="仿宋" w:cs="仿宋"/>
          <w:color w:val="auto"/>
          <w:highlight w:val="none"/>
        </w:rPr>
        <w:fldChar w:fldCharType="end"/>
      </w:r>
    </w:p>
    <w:p w14:paraId="695C3BBB">
      <w:pPr>
        <w:pStyle w:val="21"/>
        <w:tabs>
          <w:tab w:val="right" w:leader="dot" w:pos="8277"/>
          <w:tab w:val="clear" w:pos="941"/>
          <w:tab w:val="clear" w:pos="9629"/>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_Toc12293 </w:instrText>
      </w:r>
      <w:r>
        <w:rPr>
          <w:rFonts w:hint="eastAsia" w:ascii="仿宋" w:hAnsi="仿宋" w:eastAsia="仿宋" w:cs="仿宋"/>
          <w:highlight w:val="none"/>
        </w:rPr>
        <w:fldChar w:fldCharType="separate"/>
      </w:r>
      <w:r>
        <w:rPr>
          <w:rFonts w:hint="eastAsia" w:ascii="仿宋_GB2312" w:hAnsi="仿宋_GB2312" w:eastAsia="仿宋_GB2312" w:cs="Times New Roman"/>
          <w:bCs/>
          <w:kern w:val="2"/>
          <w:szCs w:val="32"/>
          <w:lang w:val="en-US" w:eastAsia="zh-CN" w:bidi="ar-SA"/>
        </w:rPr>
        <w:t>十二、</w:t>
      </w:r>
      <w:r>
        <w:rPr>
          <w:rFonts w:hint="eastAsia"/>
          <w:highlight w:val="none"/>
        </w:rPr>
        <w:t>附则</w:t>
      </w:r>
      <w:r>
        <w:tab/>
      </w:r>
      <w:r>
        <w:fldChar w:fldCharType="begin"/>
      </w:r>
      <w:r>
        <w:instrText xml:space="preserve"> PAGEREF _Toc12293 \h </w:instrText>
      </w:r>
      <w:r>
        <w:fldChar w:fldCharType="separate"/>
      </w:r>
      <w:r>
        <w:t>19</w:t>
      </w:r>
      <w:r>
        <w:fldChar w:fldCharType="end"/>
      </w:r>
      <w:r>
        <w:rPr>
          <w:rFonts w:hint="eastAsia" w:ascii="仿宋" w:hAnsi="仿宋" w:eastAsia="仿宋" w:cs="仿宋"/>
          <w:color w:val="auto"/>
          <w:highlight w:val="none"/>
        </w:rPr>
        <w:fldChar w:fldCharType="end"/>
      </w:r>
    </w:p>
    <w:p w14:paraId="7911DF32">
      <w:pPr>
        <w:pStyle w:val="20"/>
        <w:tabs>
          <w:tab w:val="right" w:leader="dot" w:pos="8277"/>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_Toc22683 </w:instrText>
      </w:r>
      <w:r>
        <w:rPr>
          <w:rFonts w:hint="eastAsia" w:ascii="仿宋" w:hAnsi="仿宋" w:eastAsia="仿宋" w:cs="仿宋"/>
          <w:highlight w:val="none"/>
        </w:rPr>
        <w:fldChar w:fldCharType="separate"/>
      </w:r>
      <w:r>
        <w:rPr>
          <w:rFonts w:hint="eastAsia"/>
          <w:highlight w:val="none"/>
          <w:lang w:val="en-US" w:eastAsia="zh-CN"/>
        </w:rPr>
        <w:t xml:space="preserve">第三章  </w:t>
      </w:r>
      <w:r>
        <w:rPr>
          <w:rFonts w:hint="eastAsia"/>
          <w:highlight w:val="none"/>
        </w:rPr>
        <w:t>拟签订的合同文本</w:t>
      </w:r>
      <w:r>
        <w:tab/>
      </w:r>
      <w:r>
        <w:fldChar w:fldCharType="begin"/>
      </w:r>
      <w:r>
        <w:instrText xml:space="preserve"> PAGEREF _Toc22683 \h </w:instrText>
      </w:r>
      <w:r>
        <w:fldChar w:fldCharType="separate"/>
      </w:r>
      <w:r>
        <w:t>20</w:t>
      </w:r>
      <w:r>
        <w:fldChar w:fldCharType="end"/>
      </w:r>
      <w:r>
        <w:rPr>
          <w:rFonts w:hint="eastAsia" w:ascii="仿宋" w:hAnsi="仿宋" w:eastAsia="仿宋" w:cs="仿宋"/>
          <w:color w:val="auto"/>
          <w:highlight w:val="none"/>
        </w:rPr>
        <w:fldChar w:fldCharType="end"/>
      </w:r>
    </w:p>
    <w:p w14:paraId="513E5262">
      <w:pPr>
        <w:pStyle w:val="20"/>
        <w:tabs>
          <w:tab w:val="right" w:leader="dot" w:pos="8277"/>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_Toc2057 </w:instrText>
      </w:r>
      <w:r>
        <w:rPr>
          <w:rFonts w:hint="eastAsia" w:ascii="仿宋" w:hAnsi="仿宋" w:eastAsia="仿宋" w:cs="仿宋"/>
          <w:highlight w:val="none"/>
        </w:rPr>
        <w:fldChar w:fldCharType="separate"/>
      </w:r>
      <w:r>
        <w:rPr>
          <w:rFonts w:hint="eastAsia"/>
          <w:highlight w:val="none"/>
          <w:lang w:val="en-US" w:eastAsia="zh-CN"/>
        </w:rPr>
        <w:t xml:space="preserve">第四章  </w:t>
      </w:r>
      <w:r>
        <w:rPr>
          <w:rFonts w:hint="eastAsia"/>
          <w:highlight w:val="none"/>
        </w:rPr>
        <w:t>响应文件格式</w:t>
      </w:r>
      <w:r>
        <w:tab/>
      </w:r>
      <w:r>
        <w:fldChar w:fldCharType="begin"/>
      </w:r>
      <w:r>
        <w:instrText xml:space="preserve"> PAGEREF _Toc2057 \h </w:instrText>
      </w:r>
      <w:r>
        <w:fldChar w:fldCharType="separate"/>
      </w:r>
      <w:r>
        <w:t>21</w:t>
      </w:r>
      <w:r>
        <w:fldChar w:fldCharType="end"/>
      </w:r>
      <w:r>
        <w:rPr>
          <w:rFonts w:hint="eastAsia" w:ascii="仿宋" w:hAnsi="仿宋" w:eastAsia="仿宋" w:cs="仿宋"/>
          <w:color w:val="auto"/>
          <w:highlight w:val="none"/>
        </w:rPr>
        <w:fldChar w:fldCharType="end"/>
      </w:r>
    </w:p>
    <w:p w14:paraId="70FEC64A">
      <w:pPr>
        <w:pStyle w:val="21"/>
        <w:tabs>
          <w:tab w:val="right" w:leader="dot" w:pos="8277"/>
          <w:tab w:val="clear" w:pos="941"/>
          <w:tab w:val="clear" w:pos="9629"/>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_Toc29980 </w:instrText>
      </w:r>
      <w:r>
        <w:rPr>
          <w:rFonts w:hint="eastAsia" w:ascii="仿宋" w:hAnsi="仿宋" w:eastAsia="仿宋" w:cs="仿宋"/>
          <w:highlight w:val="none"/>
        </w:rPr>
        <w:fldChar w:fldCharType="separate"/>
      </w:r>
      <w:r>
        <w:rPr>
          <w:rFonts w:hint="eastAsia" w:ascii="仿宋_GB2312" w:hAnsi="仿宋_GB2312" w:eastAsia="仿宋_GB2312" w:cs="仿宋_GB2312"/>
          <w:highlight w:val="none"/>
          <w:lang w:val="en-US" w:eastAsia="zh-CN"/>
        </w:rPr>
        <w:t>格式1.</w:t>
      </w:r>
      <w:r>
        <w:rPr>
          <w:rFonts w:hint="eastAsia" w:ascii="仿宋_GB2312" w:hAnsi="仿宋_GB2312" w:eastAsia="仿宋_GB2312" w:cs="仿宋_GB2312"/>
          <w:highlight w:val="none"/>
        </w:rPr>
        <w:t>磋商响应书</w:t>
      </w:r>
      <w:r>
        <w:tab/>
      </w:r>
      <w:r>
        <w:fldChar w:fldCharType="begin"/>
      </w:r>
      <w:r>
        <w:instrText xml:space="preserve"> PAGEREF _Toc29980 \h </w:instrText>
      </w:r>
      <w:r>
        <w:fldChar w:fldCharType="separate"/>
      </w:r>
      <w:r>
        <w:t>22</w:t>
      </w:r>
      <w:r>
        <w:fldChar w:fldCharType="end"/>
      </w:r>
      <w:r>
        <w:rPr>
          <w:rFonts w:hint="eastAsia" w:ascii="仿宋" w:hAnsi="仿宋" w:eastAsia="仿宋" w:cs="仿宋"/>
          <w:color w:val="auto"/>
          <w:highlight w:val="none"/>
        </w:rPr>
        <w:fldChar w:fldCharType="end"/>
      </w:r>
    </w:p>
    <w:p w14:paraId="4D8F354E">
      <w:pPr>
        <w:pStyle w:val="21"/>
        <w:tabs>
          <w:tab w:val="right" w:leader="dot" w:pos="8277"/>
          <w:tab w:val="clear" w:pos="941"/>
          <w:tab w:val="clear" w:pos="9629"/>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_Toc5885 </w:instrText>
      </w:r>
      <w:r>
        <w:rPr>
          <w:rFonts w:hint="eastAsia" w:ascii="仿宋" w:hAnsi="仿宋" w:eastAsia="仿宋" w:cs="仿宋"/>
          <w:highlight w:val="none"/>
        </w:rPr>
        <w:fldChar w:fldCharType="separate"/>
      </w:r>
      <w:r>
        <w:rPr>
          <w:rFonts w:hint="eastAsia" w:cs="Times New Roman"/>
          <w:highlight w:val="none"/>
          <w:lang w:val="en-US" w:eastAsia="zh-CN"/>
        </w:rPr>
        <w:t>格式2.1</w:t>
      </w:r>
      <w:r>
        <w:rPr>
          <w:rFonts w:hint="eastAsia" w:cs="Times New Roman"/>
          <w:highlight w:val="none"/>
        </w:rPr>
        <w:t>报价表</w:t>
      </w:r>
      <w:r>
        <w:tab/>
      </w:r>
      <w:r>
        <w:fldChar w:fldCharType="begin"/>
      </w:r>
      <w:r>
        <w:instrText xml:space="preserve"> PAGEREF _Toc5885 \h </w:instrText>
      </w:r>
      <w:r>
        <w:fldChar w:fldCharType="separate"/>
      </w:r>
      <w:r>
        <w:t>23</w:t>
      </w:r>
      <w:r>
        <w:fldChar w:fldCharType="end"/>
      </w:r>
      <w:r>
        <w:rPr>
          <w:rFonts w:hint="eastAsia" w:ascii="仿宋" w:hAnsi="仿宋" w:eastAsia="仿宋" w:cs="仿宋"/>
          <w:color w:val="auto"/>
          <w:highlight w:val="none"/>
        </w:rPr>
        <w:fldChar w:fldCharType="end"/>
      </w:r>
    </w:p>
    <w:p w14:paraId="3F8DBB30">
      <w:pPr>
        <w:pStyle w:val="21"/>
        <w:tabs>
          <w:tab w:val="right" w:leader="dot" w:pos="8277"/>
          <w:tab w:val="clear" w:pos="941"/>
          <w:tab w:val="clear" w:pos="9629"/>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_Toc9341 </w:instrText>
      </w:r>
      <w:r>
        <w:rPr>
          <w:rFonts w:hint="eastAsia" w:ascii="仿宋" w:hAnsi="仿宋" w:eastAsia="仿宋" w:cs="仿宋"/>
          <w:highlight w:val="none"/>
        </w:rPr>
        <w:fldChar w:fldCharType="separate"/>
      </w:r>
      <w:r>
        <w:rPr>
          <w:rFonts w:hint="eastAsia" w:cs="Times New Roman"/>
          <w:highlight w:val="none"/>
          <w:lang w:val="en-US" w:eastAsia="zh-CN"/>
        </w:rPr>
        <w:t>格式2.2投标分项报价表</w:t>
      </w:r>
      <w:r>
        <w:tab/>
      </w:r>
      <w:r>
        <w:fldChar w:fldCharType="begin"/>
      </w:r>
      <w:r>
        <w:instrText xml:space="preserve"> PAGEREF _Toc9341 \h </w:instrText>
      </w:r>
      <w:r>
        <w:fldChar w:fldCharType="separate"/>
      </w:r>
      <w:r>
        <w:t>24</w:t>
      </w:r>
      <w:r>
        <w:fldChar w:fldCharType="end"/>
      </w:r>
      <w:r>
        <w:rPr>
          <w:rFonts w:hint="eastAsia" w:ascii="仿宋" w:hAnsi="仿宋" w:eastAsia="仿宋" w:cs="仿宋"/>
          <w:color w:val="auto"/>
          <w:highlight w:val="none"/>
        </w:rPr>
        <w:fldChar w:fldCharType="end"/>
      </w:r>
    </w:p>
    <w:p w14:paraId="755AB83C">
      <w:pPr>
        <w:pStyle w:val="21"/>
        <w:tabs>
          <w:tab w:val="right" w:leader="dot" w:pos="8277"/>
          <w:tab w:val="clear" w:pos="941"/>
          <w:tab w:val="clear" w:pos="9629"/>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_Toc22333 </w:instrText>
      </w:r>
      <w:r>
        <w:rPr>
          <w:rFonts w:hint="eastAsia" w:ascii="仿宋" w:hAnsi="仿宋" w:eastAsia="仿宋" w:cs="仿宋"/>
          <w:highlight w:val="none"/>
        </w:rPr>
        <w:fldChar w:fldCharType="separate"/>
      </w:r>
      <w:r>
        <w:rPr>
          <w:rFonts w:hint="eastAsia" w:cs="Times New Roman"/>
          <w:highlight w:val="none"/>
          <w:lang w:val="en-US" w:eastAsia="zh-CN"/>
        </w:rPr>
        <w:t>格式3.</w:t>
      </w:r>
      <w:r>
        <w:rPr>
          <w:rFonts w:hint="eastAsia" w:ascii="仿宋_GB2312" w:hAnsi="仿宋_GB2312" w:eastAsia="仿宋_GB2312" w:cs="Times New Roman"/>
          <w:bCs/>
          <w:kern w:val="2"/>
          <w:szCs w:val="24"/>
          <w:highlight w:val="none"/>
          <w:lang w:val="en-US" w:eastAsia="zh-CN" w:bidi="ar-SA"/>
        </w:rPr>
        <w:t>偏差表</w:t>
      </w:r>
      <w:r>
        <w:tab/>
      </w:r>
      <w:r>
        <w:fldChar w:fldCharType="begin"/>
      </w:r>
      <w:r>
        <w:instrText xml:space="preserve"> PAGEREF _Toc22333 \h </w:instrText>
      </w:r>
      <w:r>
        <w:fldChar w:fldCharType="separate"/>
      </w:r>
      <w:r>
        <w:t>26</w:t>
      </w:r>
      <w:r>
        <w:fldChar w:fldCharType="end"/>
      </w:r>
      <w:r>
        <w:rPr>
          <w:rFonts w:hint="eastAsia" w:ascii="仿宋" w:hAnsi="仿宋" w:eastAsia="仿宋" w:cs="仿宋"/>
          <w:color w:val="auto"/>
          <w:highlight w:val="none"/>
        </w:rPr>
        <w:fldChar w:fldCharType="end"/>
      </w:r>
    </w:p>
    <w:p w14:paraId="2408A578">
      <w:pPr>
        <w:pStyle w:val="21"/>
        <w:tabs>
          <w:tab w:val="right" w:leader="dot" w:pos="8277"/>
          <w:tab w:val="clear" w:pos="941"/>
          <w:tab w:val="clear" w:pos="9629"/>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_Toc20271 </w:instrText>
      </w:r>
      <w:r>
        <w:rPr>
          <w:rFonts w:hint="eastAsia" w:ascii="仿宋" w:hAnsi="仿宋" w:eastAsia="仿宋" w:cs="仿宋"/>
          <w:highlight w:val="none"/>
        </w:rPr>
        <w:fldChar w:fldCharType="separate"/>
      </w:r>
      <w:r>
        <w:rPr>
          <w:rFonts w:hint="eastAsia" w:cs="Times New Roman"/>
          <w:highlight w:val="none"/>
          <w:lang w:val="en-US" w:eastAsia="zh-CN"/>
        </w:rPr>
        <w:t>格式4.供应商情况一览表</w:t>
      </w:r>
      <w:r>
        <w:tab/>
      </w:r>
      <w:r>
        <w:fldChar w:fldCharType="begin"/>
      </w:r>
      <w:r>
        <w:instrText xml:space="preserve"> PAGEREF _Toc20271 \h </w:instrText>
      </w:r>
      <w:r>
        <w:fldChar w:fldCharType="separate"/>
      </w:r>
      <w:r>
        <w:t>27</w:t>
      </w:r>
      <w:r>
        <w:fldChar w:fldCharType="end"/>
      </w:r>
      <w:r>
        <w:rPr>
          <w:rFonts w:hint="eastAsia" w:ascii="仿宋" w:hAnsi="仿宋" w:eastAsia="仿宋" w:cs="仿宋"/>
          <w:color w:val="auto"/>
          <w:highlight w:val="none"/>
        </w:rPr>
        <w:fldChar w:fldCharType="end"/>
      </w:r>
    </w:p>
    <w:p w14:paraId="0DCA0AB0">
      <w:pPr>
        <w:pStyle w:val="21"/>
        <w:tabs>
          <w:tab w:val="right" w:leader="dot" w:pos="8277"/>
          <w:tab w:val="clear" w:pos="941"/>
          <w:tab w:val="clear" w:pos="9629"/>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_Toc4345 </w:instrText>
      </w:r>
      <w:r>
        <w:rPr>
          <w:rFonts w:hint="eastAsia" w:ascii="仿宋" w:hAnsi="仿宋" w:eastAsia="仿宋" w:cs="仿宋"/>
          <w:highlight w:val="none"/>
        </w:rPr>
        <w:fldChar w:fldCharType="separate"/>
      </w:r>
      <w:r>
        <w:rPr>
          <w:rFonts w:hint="eastAsia" w:cs="Times New Roman"/>
          <w:highlight w:val="none"/>
          <w:lang w:val="en-US" w:eastAsia="zh-CN"/>
        </w:rPr>
        <w:t>格式5.技术文件</w:t>
      </w:r>
      <w:r>
        <w:tab/>
      </w:r>
      <w:r>
        <w:fldChar w:fldCharType="begin"/>
      </w:r>
      <w:r>
        <w:instrText xml:space="preserve"> PAGEREF _Toc4345 \h </w:instrText>
      </w:r>
      <w:r>
        <w:fldChar w:fldCharType="separate"/>
      </w:r>
      <w:r>
        <w:t>28</w:t>
      </w:r>
      <w:r>
        <w:fldChar w:fldCharType="end"/>
      </w:r>
      <w:r>
        <w:rPr>
          <w:rFonts w:hint="eastAsia" w:ascii="仿宋" w:hAnsi="仿宋" w:eastAsia="仿宋" w:cs="仿宋"/>
          <w:color w:val="auto"/>
          <w:highlight w:val="none"/>
        </w:rPr>
        <w:fldChar w:fldCharType="end"/>
      </w:r>
    </w:p>
    <w:p w14:paraId="1BA91286">
      <w:pPr>
        <w:pStyle w:val="21"/>
        <w:tabs>
          <w:tab w:val="right" w:leader="dot" w:pos="8277"/>
          <w:tab w:val="clear" w:pos="941"/>
          <w:tab w:val="clear" w:pos="9629"/>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_Toc50 </w:instrText>
      </w:r>
      <w:r>
        <w:rPr>
          <w:rFonts w:hint="eastAsia" w:ascii="仿宋" w:hAnsi="仿宋" w:eastAsia="仿宋" w:cs="仿宋"/>
          <w:highlight w:val="none"/>
        </w:rPr>
        <w:fldChar w:fldCharType="separate"/>
      </w:r>
      <w:r>
        <w:rPr>
          <w:rFonts w:hint="eastAsia" w:cs="Times New Roman"/>
          <w:highlight w:val="none"/>
          <w:lang w:val="en-US" w:eastAsia="zh-CN"/>
        </w:rPr>
        <w:t>格式6.资格证明文件</w:t>
      </w:r>
      <w:r>
        <w:tab/>
      </w:r>
      <w:r>
        <w:fldChar w:fldCharType="begin"/>
      </w:r>
      <w:r>
        <w:instrText xml:space="preserve"> PAGEREF _Toc50 \h </w:instrText>
      </w:r>
      <w:r>
        <w:fldChar w:fldCharType="separate"/>
      </w:r>
      <w:r>
        <w:t>29</w:t>
      </w:r>
      <w:r>
        <w:fldChar w:fldCharType="end"/>
      </w:r>
      <w:r>
        <w:rPr>
          <w:rFonts w:hint="eastAsia" w:ascii="仿宋" w:hAnsi="仿宋" w:eastAsia="仿宋" w:cs="仿宋"/>
          <w:color w:val="auto"/>
          <w:highlight w:val="none"/>
        </w:rPr>
        <w:fldChar w:fldCharType="end"/>
      </w:r>
    </w:p>
    <w:p w14:paraId="15D401CE">
      <w:pPr>
        <w:pStyle w:val="21"/>
        <w:tabs>
          <w:tab w:val="right" w:leader="dot" w:pos="8277"/>
          <w:tab w:val="clear" w:pos="941"/>
          <w:tab w:val="clear" w:pos="9629"/>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_Toc16497 </w:instrText>
      </w:r>
      <w:r>
        <w:rPr>
          <w:rFonts w:hint="eastAsia" w:ascii="仿宋" w:hAnsi="仿宋" w:eastAsia="仿宋" w:cs="仿宋"/>
          <w:highlight w:val="none"/>
        </w:rPr>
        <w:fldChar w:fldCharType="separate"/>
      </w:r>
      <w:r>
        <w:rPr>
          <w:rFonts w:hint="eastAsia"/>
          <w:bCs/>
          <w:highlight w:val="none"/>
          <w:lang w:val="en-US" w:eastAsia="zh-CN"/>
        </w:rPr>
        <w:t>格式7.磋商保证金凭证</w:t>
      </w:r>
      <w:r>
        <w:tab/>
      </w:r>
      <w:r>
        <w:fldChar w:fldCharType="begin"/>
      </w:r>
      <w:r>
        <w:instrText xml:space="preserve"> PAGEREF _Toc16497 \h </w:instrText>
      </w:r>
      <w:r>
        <w:fldChar w:fldCharType="separate"/>
      </w:r>
      <w:r>
        <w:t>31</w:t>
      </w:r>
      <w:r>
        <w:fldChar w:fldCharType="end"/>
      </w:r>
      <w:r>
        <w:rPr>
          <w:rFonts w:hint="eastAsia" w:ascii="仿宋" w:hAnsi="仿宋" w:eastAsia="仿宋" w:cs="仿宋"/>
          <w:color w:val="auto"/>
          <w:highlight w:val="none"/>
        </w:rPr>
        <w:fldChar w:fldCharType="end"/>
      </w:r>
    </w:p>
    <w:p w14:paraId="1ABC346A">
      <w:pPr>
        <w:pStyle w:val="21"/>
        <w:tabs>
          <w:tab w:val="right" w:leader="dot" w:pos="8277"/>
          <w:tab w:val="clear" w:pos="941"/>
          <w:tab w:val="clear" w:pos="9629"/>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_Toc4836 </w:instrText>
      </w:r>
      <w:r>
        <w:rPr>
          <w:rFonts w:hint="eastAsia" w:ascii="仿宋" w:hAnsi="仿宋" w:eastAsia="仿宋" w:cs="仿宋"/>
          <w:highlight w:val="none"/>
        </w:rPr>
        <w:fldChar w:fldCharType="separate"/>
      </w:r>
      <w:r>
        <w:rPr>
          <w:rFonts w:hint="eastAsia"/>
          <w:highlight w:val="none"/>
        </w:rPr>
        <w:t>格式</w:t>
      </w:r>
      <w:r>
        <w:rPr>
          <w:rFonts w:hint="eastAsia"/>
          <w:highlight w:val="none"/>
          <w:lang w:val="en-US" w:eastAsia="zh-CN"/>
        </w:rPr>
        <w:t>8</w:t>
      </w:r>
      <w:r>
        <w:rPr>
          <w:rFonts w:hint="eastAsia"/>
          <w:highlight w:val="none"/>
        </w:rPr>
        <w:t>.法定代表人身份证明书</w:t>
      </w:r>
      <w:r>
        <w:tab/>
      </w:r>
      <w:r>
        <w:fldChar w:fldCharType="begin"/>
      </w:r>
      <w:r>
        <w:instrText xml:space="preserve"> PAGEREF _Toc4836 \h </w:instrText>
      </w:r>
      <w:r>
        <w:fldChar w:fldCharType="separate"/>
      </w:r>
      <w:r>
        <w:t>32</w:t>
      </w:r>
      <w:r>
        <w:fldChar w:fldCharType="end"/>
      </w:r>
      <w:r>
        <w:rPr>
          <w:rFonts w:hint="eastAsia" w:ascii="仿宋" w:hAnsi="仿宋" w:eastAsia="仿宋" w:cs="仿宋"/>
          <w:color w:val="auto"/>
          <w:highlight w:val="none"/>
        </w:rPr>
        <w:fldChar w:fldCharType="end"/>
      </w:r>
    </w:p>
    <w:p w14:paraId="01712F05">
      <w:pPr>
        <w:pStyle w:val="21"/>
        <w:tabs>
          <w:tab w:val="right" w:leader="dot" w:pos="8277"/>
          <w:tab w:val="clear" w:pos="941"/>
          <w:tab w:val="clear" w:pos="9629"/>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_Toc27433 </w:instrText>
      </w:r>
      <w:r>
        <w:rPr>
          <w:rFonts w:hint="eastAsia" w:ascii="仿宋" w:hAnsi="仿宋" w:eastAsia="仿宋" w:cs="仿宋"/>
          <w:highlight w:val="none"/>
        </w:rPr>
        <w:fldChar w:fldCharType="separate"/>
      </w:r>
      <w:r>
        <w:rPr>
          <w:rFonts w:hint="eastAsia"/>
          <w:bCs/>
          <w:highlight w:val="none"/>
          <w:lang w:val="en-US" w:eastAsia="zh-CN"/>
        </w:rPr>
        <w:t>格式9.法定代表人授权书</w:t>
      </w:r>
      <w:r>
        <w:tab/>
      </w:r>
      <w:r>
        <w:fldChar w:fldCharType="begin"/>
      </w:r>
      <w:r>
        <w:instrText xml:space="preserve"> PAGEREF _Toc27433 \h </w:instrText>
      </w:r>
      <w:r>
        <w:fldChar w:fldCharType="separate"/>
      </w:r>
      <w:r>
        <w:t>33</w:t>
      </w:r>
      <w:r>
        <w:fldChar w:fldCharType="end"/>
      </w:r>
      <w:r>
        <w:rPr>
          <w:rFonts w:hint="eastAsia" w:ascii="仿宋" w:hAnsi="仿宋" w:eastAsia="仿宋" w:cs="仿宋"/>
          <w:color w:val="auto"/>
          <w:highlight w:val="none"/>
        </w:rPr>
        <w:fldChar w:fldCharType="end"/>
      </w:r>
    </w:p>
    <w:p w14:paraId="49953A76">
      <w:pPr>
        <w:pStyle w:val="21"/>
        <w:tabs>
          <w:tab w:val="right" w:leader="dot" w:pos="8277"/>
          <w:tab w:val="clear" w:pos="941"/>
          <w:tab w:val="clear" w:pos="9629"/>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_Toc6128 </w:instrText>
      </w:r>
      <w:r>
        <w:rPr>
          <w:rFonts w:hint="eastAsia" w:ascii="仿宋" w:hAnsi="仿宋" w:eastAsia="仿宋" w:cs="仿宋"/>
          <w:highlight w:val="none"/>
        </w:rPr>
        <w:fldChar w:fldCharType="separate"/>
      </w:r>
      <w:r>
        <w:rPr>
          <w:rFonts w:hint="eastAsia"/>
          <w:bCs/>
          <w:highlight w:val="none"/>
          <w:lang w:val="en-US" w:eastAsia="zh-CN"/>
        </w:rPr>
        <w:t>格式10.磋商文件要求提供或与评审计分有关的其他资料</w:t>
      </w:r>
      <w:r>
        <w:tab/>
      </w:r>
      <w:r>
        <w:fldChar w:fldCharType="begin"/>
      </w:r>
      <w:r>
        <w:instrText xml:space="preserve"> PAGEREF _Toc6128 \h </w:instrText>
      </w:r>
      <w:r>
        <w:fldChar w:fldCharType="separate"/>
      </w:r>
      <w:r>
        <w:t>34</w:t>
      </w:r>
      <w:r>
        <w:fldChar w:fldCharType="end"/>
      </w:r>
      <w:r>
        <w:rPr>
          <w:rFonts w:hint="eastAsia" w:ascii="仿宋" w:hAnsi="仿宋" w:eastAsia="仿宋" w:cs="仿宋"/>
          <w:color w:val="auto"/>
          <w:highlight w:val="none"/>
        </w:rPr>
        <w:fldChar w:fldCharType="end"/>
      </w:r>
    </w:p>
    <w:p w14:paraId="00BD8D32">
      <w:pPr>
        <w:pStyle w:val="20"/>
        <w:tabs>
          <w:tab w:val="right" w:leader="dot" w:pos="8277"/>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_Toc17292 </w:instrText>
      </w:r>
      <w:r>
        <w:rPr>
          <w:rFonts w:hint="eastAsia" w:ascii="仿宋" w:hAnsi="仿宋" w:eastAsia="仿宋" w:cs="仿宋"/>
          <w:highlight w:val="none"/>
        </w:rPr>
        <w:fldChar w:fldCharType="separate"/>
      </w:r>
      <w:r>
        <w:rPr>
          <w:rFonts w:hint="eastAsia"/>
          <w:highlight w:val="none"/>
          <w:lang w:val="en-US" w:eastAsia="zh-CN"/>
        </w:rPr>
        <w:t xml:space="preserve">第五章  </w:t>
      </w:r>
      <w:r>
        <w:rPr>
          <w:rFonts w:hint="eastAsia" w:ascii="仿宋" w:hAnsi="仿宋" w:cs="仿宋"/>
          <w:bCs/>
          <w:highlight w:val="none"/>
          <w:lang w:val="en-US" w:eastAsia="zh-CN"/>
        </w:rPr>
        <w:t>评审标准</w:t>
      </w:r>
      <w:r>
        <w:tab/>
      </w:r>
      <w:r>
        <w:fldChar w:fldCharType="begin"/>
      </w:r>
      <w:r>
        <w:instrText xml:space="preserve"> PAGEREF _Toc17292 \h </w:instrText>
      </w:r>
      <w:r>
        <w:fldChar w:fldCharType="separate"/>
      </w:r>
      <w:r>
        <w:t>35</w:t>
      </w:r>
      <w:r>
        <w:fldChar w:fldCharType="end"/>
      </w:r>
      <w:r>
        <w:rPr>
          <w:rFonts w:hint="eastAsia" w:ascii="仿宋" w:hAnsi="仿宋" w:eastAsia="仿宋" w:cs="仿宋"/>
          <w:color w:val="auto"/>
          <w:highlight w:val="none"/>
        </w:rPr>
        <w:fldChar w:fldCharType="end"/>
      </w:r>
    </w:p>
    <w:p w14:paraId="61A46A79">
      <w:pPr>
        <w:pStyle w:val="20"/>
        <w:tabs>
          <w:tab w:val="right" w:leader="dot" w:pos="8277"/>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_Toc29395 </w:instrText>
      </w:r>
      <w:r>
        <w:rPr>
          <w:rFonts w:hint="eastAsia" w:ascii="仿宋" w:hAnsi="仿宋" w:eastAsia="仿宋" w:cs="仿宋"/>
          <w:highlight w:val="none"/>
        </w:rPr>
        <w:fldChar w:fldCharType="separate"/>
      </w:r>
      <w:r>
        <w:rPr>
          <w:rFonts w:hint="eastAsia"/>
          <w:highlight w:val="none"/>
          <w:lang w:val="en-US" w:eastAsia="zh-CN"/>
        </w:rPr>
        <w:t>第六章 系统需求及参数要求</w:t>
      </w:r>
      <w:r>
        <w:tab/>
      </w:r>
      <w:r>
        <w:fldChar w:fldCharType="begin"/>
      </w:r>
      <w:r>
        <w:instrText xml:space="preserve"> PAGEREF _Toc29395 \h </w:instrText>
      </w:r>
      <w:r>
        <w:fldChar w:fldCharType="separate"/>
      </w:r>
      <w:r>
        <w:t>38</w:t>
      </w:r>
      <w:r>
        <w:fldChar w:fldCharType="end"/>
      </w:r>
      <w:r>
        <w:rPr>
          <w:rFonts w:hint="eastAsia" w:ascii="仿宋" w:hAnsi="仿宋" w:eastAsia="仿宋" w:cs="仿宋"/>
          <w:color w:val="auto"/>
          <w:highlight w:val="none"/>
        </w:rPr>
        <w:fldChar w:fldCharType="end"/>
      </w:r>
    </w:p>
    <w:p w14:paraId="18CB6D6D">
      <w:pPr>
        <w:pStyle w:val="20"/>
        <w:tabs>
          <w:tab w:val="right" w:leader="dot" w:pos="9016"/>
        </w:tabs>
        <w:rPr>
          <w:rFonts w:ascii="仿宋" w:hAnsi="仿宋" w:eastAsia="仿宋" w:cs="仿宋"/>
          <w:color w:val="auto"/>
          <w:highlight w:val="none"/>
        </w:rPr>
      </w:pPr>
      <w:r>
        <w:rPr>
          <w:rFonts w:hint="eastAsia" w:ascii="仿宋" w:hAnsi="仿宋" w:eastAsia="仿宋" w:cs="仿宋"/>
          <w:color w:val="auto"/>
          <w:highlight w:val="none"/>
        </w:rPr>
        <w:fldChar w:fldCharType="end"/>
      </w:r>
    </w:p>
    <w:p w14:paraId="6750243F">
      <w:pPr>
        <w:rPr>
          <w:rFonts w:ascii="仿宋" w:hAnsi="仿宋" w:eastAsia="仿宋" w:cs="仿宋"/>
          <w:color w:val="auto"/>
          <w:highlight w:val="none"/>
        </w:rPr>
      </w:pPr>
    </w:p>
    <w:p w14:paraId="7EEADDDE">
      <w:pPr>
        <w:rPr>
          <w:rFonts w:ascii="仿宋" w:hAnsi="仿宋" w:eastAsia="仿宋" w:cs="仿宋"/>
          <w:color w:val="auto"/>
          <w:highlight w:val="none"/>
        </w:rPr>
      </w:pPr>
    </w:p>
    <w:p w14:paraId="56EB6A8A">
      <w:pPr>
        <w:rPr>
          <w:rFonts w:ascii="仿宋" w:hAnsi="仿宋" w:eastAsia="仿宋" w:cs="仿宋"/>
          <w:color w:val="auto"/>
          <w:highlight w:val="none"/>
        </w:rPr>
      </w:pPr>
    </w:p>
    <w:p w14:paraId="1E209803">
      <w:pPr>
        <w:bidi w:val="0"/>
        <w:rPr>
          <w:highlight w:val="none"/>
        </w:rPr>
      </w:pPr>
    </w:p>
    <w:p w14:paraId="7A195944">
      <w:pPr>
        <w:rPr>
          <w:rFonts w:ascii="仿宋" w:hAnsi="仿宋" w:eastAsia="仿宋" w:cs="仿宋"/>
          <w:color w:val="auto"/>
          <w:highlight w:val="none"/>
        </w:rPr>
      </w:pPr>
    </w:p>
    <w:p w14:paraId="625D099F">
      <w:pPr>
        <w:ind w:left="0" w:leftChars="0" w:firstLine="0" w:firstLineChars="0"/>
        <w:rPr>
          <w:rFonts w:ascii="仿宋" w:hAnsi="仿宋" w:eastAsia="仿宋" w:cs="仿宋"/>
          <w:color w:val="auto"/>
          <w:highlight w:val="none"/>
        </w:rPr>
      </w:pPr>
    </w:p>
    <w:p w14:paraId="7475D44C">
      <w:pPr>
        <w:pStyle w:val="37"/>
        <w:rPr>
          <w:color w:val="auto"/>
          <w:highlight w:val="none"/>
        </w:rPr>
      </w:pPr>
    </w:p>
    <w:p w14:paraId="16365A34">
      <w:pPr>
        <w:pStyle w:val="2"/>
        <w:bidi w:val="0"/>
        <w:rPr>
          <w:rFonts w:hint="eastAsia"/>
          <w:color w:val="auto"/>
          <w:highlight w:val="none"/>
          <w:lang w:val="en-US" w:eastAsia="zh-CN"/>
        </w:rPr>
        <w:sectPr>
          <w:headerReference r:id="rId7" w:type="default"/>
          <w:footerReference r:id="rId8" w:type="default"/>
          <w:pgSz w:w="11905" w:h="16838"/>
          <w:pgMar w:top="1417" w:right="1814" w:bottom="1417" w:left="1814" w:header="850" w:footer="992" w:gutter="0"/>
          <w:pgBorders>
            <w:top w:val="none" w:sz="0" w:space="0"/>
            <w:left w:val="none" w:sz="0" w:space="0"/>
            <w:bottom w:val="none" w:sz="0" w:space="0"/>
            <w:right w:val="none" w:sz="0" w:space="0"/>
          </w:pgBorders>
          <w:pgNumType w:fmt="decimal" w:start="1"/>
          <w:cols w:space="0" w:num="1"/>
          <w:rtlGutter w:val="0"/>
          <w:docGrid w:type="linesAndChars" w:linePitch="333" w:charSpace="0"/>
        </w:sectPr>
      </w:pPr>
      <w:bookmarkStart w:id="0" w:name="_Toc865"/>
    </w:p>
    <w:p w14:paraId="45CC3575">
      <w:pPr>
        <w:pStyle w:val="2"/>
        <w:bidi w:val="0"/>
        <w:rPr>
          <w:color w:val="auto"/>
          <w:highlight w:val="none"/>
        </w:rPr>
      </w:pPr>
      <w:bookmarkStart w:id="1" w:name="_Toc10251"/>
      <w:bookmarkStart w:id="2" w:name="_Toc13981"/>
      <w:bookmarkStart w:id="3" w:name="_Toc16563"/>
      <w:bookmarkStart w:id="4" w:name="_Toc31942"/>
      <w:bookmarkStart w:id="5" w:name="_Toc15947"/>
      <w:bookmarkStart w:id="6" w:name="_Toc11331"/>
      <w:bookmarkStart w:id="7" w:name="_Toc16141"/>
      <w:bookmarkStart w:id="8" w:name="_Toc26118"/>
      <w:r>
        <w:rPr>
          <w:rFonts w:hint="eastAsia"/>
          <w:color w:val="auto"/>
          <w:highlight w:val="none"/>
          <w:lang w:val="en-US" w:eastAsia="zh-CN"/>
        </w:rPr>
        <w:t xml:space="preserve">第一章  </w:t>
      </w:r>
      <w:r>
        <w:rPr>
          <w:rFonts w:hint="eastAsia"/>
          <w:highlight w:val="none"/>
        </w:rPr>
        <w:t>磋商</w:t>
      </w:r>
      <w:r>
        <w:rPr>
          <w:rFonts w:hint="eastAsia"/>
          <w:highlight w:val="none"/>
          <w:lang w:eastAsia="zh-CN"/>
        </w:rPr>
        <w:t>公告</w:t>
      </w:r>
      <w:bookmarkEnd w:id="0"/>
      <w:bookmarkEnd w:id="1"/>
      <w:bookmarkEnd w:id="2"/>
      <w:bookmarkEnd w:id="3"/>
      <w:bookmarkEnd w:id="4"/>
      <w:bookmarkEnd w:id="5"/>
      <w:bookmarkEnd w:id="6"/>
      <w:bookmarkEnd w:id="7"/>
      <w:bookmarkEnd w:id="8"/>
    </w:p>
    <w:p w14:paraId="19BC0C85">
      <w:pPr>
        <w:bidi w:val="0"/>
        <w:rPr>
          <w:rFonts w:hint="eastAsia"/>
          <w:color w:val="auto"/>
          <w:highlight w:val="none"/>
          <w:lang w:val="en-US" w:eastAsia="zh-CN"/>
        </w:rPr>
      </w:pPr>
      <w:bookmarkStart w:id="9" w:name="_Hlk497289410"/>
      <w:r>
        <w:rPr>
          <w:rFonts w:hint="eastAsia"/>
          <w:color w:val="auto"/>
          <w:highlight w:val="none"/>
          <w:u w:val="single"/>
          <w:lang w:eastAsia="zh-CN"/>
        </w:rPr>
        <w:t>江西萍乡建工集团有限公司</w:t>
      </w:r>
      <w:r>
        <w:rPr>
          <w:rFonts w:hint="eastAsia"/>
          <w:color w:val="auto"/>
          <w:highlight w:val="none"/>
          <w:u w:val="none"/>
        </w:rPr>
        <w:t>现</w:t>
      </w:r>
      <w:r>
        <w:rPr>
          <w:rFonts w:hint="eastAsia"/>
          <w:color w:val="auto"/>
          <w:highlight w:val="none"/>
        </w:rPr>
        <w:t>对</w:t>
      </w:r>
      <w:bookmarkEnd w:id="9"/>
      <w:r>
        <w:rPr>
          <w:rFonts w:hint="eastAsia"/>
          <w:color w:val="auto"/>
          <w:highlight w:val="none"/>
          <w:u w:val="single"/>
          <w:lang w:eastAsia="zh-CN"/>
        </w:rPr>
        <w:t>江西萍乡建工集团有限公司财务系统项目</w:t>
      </w:r>
      <w:r>
        <w:rPr>
          <w:rFonts w:hint="eastAsia"/>
          <w:color w:val="auto"/>
          <w:highlight w:val="none"/>
          <w:u w:val="none"/>
          <w:lang w:val="en-US" w:eastAsia="zh-CN"/>
        </w:rPr>
        <w:t>采用</w:t>
      </w:r>
      <w:r>
        <w:rPr>
          <w:rFonts w:hint="eastAsia"/>
          <w:color w:val="auto"/>
          <w:highlight w:val="none"/>
          <w:lang w:val="en-US" w:eastAsia="zh-CN"/>
        </w:rPr>
        <w:t>竞争性磋商方式进行采购，现予以公告，欢迎具备条件的供应商参加磋商。</w:t>
      </w:r>
    </w:p>
    <w:p w14:paraId="67A2E988">
      <w:pPr>
        <w:pStyle w:val="3"/>
        <w:numPr>
          <w:ilvl w:val="0"/>
          <w:numId w:val="0"/>
        </w:numPr>
        <w:bidi w:val="0"/>
        <w:ind w:left="0" w:leftChars="0" w:firstLine="480" w:firstLineChars="200"/>
        <w:rPr>
          <w:rFonts w:hint="eastAsia"/>
          <w:highlight w:val="none"/>
        </w:rPr>
      </w:pPr>
      <w:bookmarkStart w:id="10" w:name="_Toc5854"/>
      <w:bookmarkStart w:id="11" w:name="_Toc15844"/>
      <w:bookmarkStart w:id="12" w:name="_Toc22057"/>
      <w:bookmarkStart w:id="13" w:name="_Toc418"/>
      <w:bookmarkStart w:id="14" w:name="_Toc13954"/>
      <w:bookmarkStart w:id="15" w:name="_Toc10039"/>
      <w:bookmarkStart w:id="16" w:name="_Toc18443"/>
      <w:bookmarkStart w:id="17" w:name="_Toc16239"/>
      <w:bookmarkStart w:id="18" w:name="_Toc4994"/>
      <w:r>
        <w:rPr>
          <w:rFonts w:hint="eastAsia" w:ascii="仿宋_GB2312" w:hAnsi="仿宋_GB2312" w:eastAsia="仿宋_GB2312" w:cs="Times New Roman"/>
          <w:b/>
          <w:bCs/>
          <w:kern w:val="2"/>
          <w:sz w:val="24"/>
          <w:szCs w:val="32"/>
          <w:lang w:val="en-US" w:eastAsia="zh-CN" w:bidi="ar-SA"/>
        </w:rPr>
        <w:t>一、</w:t>
      </w:r>
      <w:r>
        <w:rPr>
          <w:rFonts w:hint="eastAsia"/>
          <w:highlight w:val="none"/>
        </w:rPr>
        <w:t>项目名称</w:t>
      </w:r>
      <w:bookmarkEnd w:id="10"/>
      <w:bookmarkEnd w:id="11"/>
      <w:bookmarkEnd w:id="12"/>
      <w:bookmarkEnd w:id="13"/>
      <w:bookmarkEnd w:id="14"/>
      <w:bookmarkEnd w:id="15"/>
      <w:bookmarkEnd w:id="16"/>
      <w:bookmarkEnd w:id="17"/>
      <w:bookmarkEnd w:id="18"/>
    </w:p>
    <w:p w14:paraId="52D9D340">
      <w:pPr>
        <w:bidi w:val="0"/>
        <w:rPr>
          <w:color w:val="auto"/>
          <w:highlight w:val="none"/>
        </w:rPr>
      </w:pPr>
      <w:r>
        <w:rPr>
          <w:rFonts w:hint="eastAsia"/>
          <w:color w:val="auto"/>
          <w:highlight w:val="none"/>
          <w:u w:val="single"/>
          <w:lang w:val="en-US" w:eastAsia="zh-CN"/>
        </w:rPr>
        <w:t>江西萍乡建工集团有限公司</w:t>
      </w:r>
      <w:r>
        <w:rPr>
          <w:rFonts w:hint="eastAsia"/>
          <w:color w:val="auto"/>
          <w:highlight w:val="none"/>
          <w:u w:val="single"/>
          <w:lang w:eastAsia="zh-CN"/>
        </w:rPr>
        <w:t>财务系统项目</w:t>
      </w:r>
      <w:r>
        <w:rPr>
          <w:rFonts w:hint="eastAsia"/>
          <w:color w:val="FF0000"/>
          <w:highlight w:val="none"/>
          <w:u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w:t>
      </w:r>
    </w:p>
    <w:p w14:paraId="524F15AC">
      <w:pPr>
        <w:pStyle w:val="3"/>
        <w:numPr>
          <w:ilvl w:val="0"/>
          <w:numId w:val="0"/>
        </w:numPr>
        <w:bidi w:val="0"/>
        <w:ind w:left="0" w:leftChars="0" w:firstLine="480" w:firstLineChars="200"/>
        <w:rPr>
          <w:highlight w:val="none"/>
        </w:rPr>
      </w:pPr>
      <w:bookmarkStart w:id="19" w:name="_Toc3595"/>
      <w:bookmarkStart w:id="20" w:name="_Toc19975"/>
      <w:bookmarkStart w:id="21" w:name="_Toc22059"/>
      <w:bookmarkStart w:id="22" w:name="_Toc21073"/>
      <w:bookmarkStart w:id="23" w:name="_Toc20294"/>
      <w:bookmarkStart w:id="24" w:name="_Toc18892"/>
      <w:bookmarkStart w:id="25" w:name="_Toc2296"/>
      <w:bookmarkStart w:id="26" w:name="_Toc13429"/>
      <w:bookmarkStart w:id="27" w:name="_Toc26814"/>
      <w:r>
        <w:rPr>
          <w:rFonts w:hint="eastAsia" w:ascii="仿宋_GB2312" w:hAnsi="仿宋_GB2312" w:eastAsia="仿宋_GB2312" w:cs="Times New Roman"/>
          <w:b/>
          <w:bCs/>
          <w:kern w:val="2"/>
          <w:sz w:val="24"/>
          <w:szCs w:val="32"/>
          <w:lang w:val="en-US" w:eastAsia="zh-CN" w:bidi="ar-SA"/>
        </w:rPr>
        <w:t>二、</w:t>
      </w:r>
      <w:r>
        <w:rPr>
          <w:rFonts w:hint="eastAsia"/>
          <w:highlight w:val="none"/>
          <w:lang w:val="en-US" w:eastAsia="zh-CN"/>
        </w:rPr>
        <w:t>采购</w:t>
      </w:r>
      <w:r>
        <w:rPr>
          <w:rFonts w:hint="eastAsia"/>
          <w:highlight w:val="none"/>
        </w:rPr>
        <w:t>人</w:t>
      </w:r>
      <w:bookmarkEnd w:id="19"/>
      <w:bookmarkEnd w:id="20"/>
      <w:bookmarkEnd w:id="21"/>
      <w:bookmarkEnd w:id="22"/>
      <w:bookmarkEnd w:id="23"/>
      <w:bookmarkEnd w:id="24"/>
      <w:bookmarkEnd w:id="25"/>
      <w:bookmarkEnd w:id="26"/>
      <w:bookmarkEnd w:id="27"/>
    </w:p>
    <w:p w14:paraId="61CA1D2E">
      <w:pPr>
        <w:bidi w:val="0"/>
        <w:rPr>
          <w:color w:val="auto"/>
          <w:highlight w:val="none"/>
        </w:rPr>
      </w:pPr>
      <w:r>
        <w:rPr>
          <w:rFonts w:hint="eastAsia"/>
          <w:color w:val="auto"/>
          <w:highlight w:val="none"/>
          <w:u w:val="single"/>
          <w:lang w:eastAsia="zh-CN"/>
        </w:rPr>
        <w:t>江西萍乡建工集团有限公司</w:t>
      </w:r>
      <w:r>
        <w:rPr>
          <w:rFonts w:hint="eastAsia"/>
          <w:color w:val="auto"/>
          <w:highlight w:val="none"/>
          <w:lang w:val="en-US" w:eastAsia="zh-CN"/>
        </w:rPr>
        <w:t xml:space="preserve">                  </w:t>
      </w:r>
    </w:p>
    <w:p w14:paraId="0532FD7D">
      <w:pPr>
        <w:pStyle w:val="3"/>
        <w:numPr>
          <w:ilvl w:val="0"/>
          <w:numId w:val="0"/>
        </w:numPr>
        <w:bidi w:val="0"/>
        <w:ind w:left="0" w:leftChars="0" w:firstLine="480" w:firstLineChars="200"/>
        <w:rPr>
          <w:rFonts w:hint="default"/>
          <w:highlight w:val="none"/>
          <w:lang w:val="en-US" w:eastAsia="zh-CN"/>
        </w:rPr>
      </w:pPr>
      <w:bookmarkStart w:id="28" w:name="_Toc17990"/>
      <w:bookmarkStart w:id="29" w:name="_Toc6479"/>
      <w:bookmarkStart w:id="30" w:name="_Toc31475"/>
      <w:bookmarkStart w:id="31" w:name="_Toc19764"/>
      <w:bookmarkStart w:id="32" w:name="_Toc1165"/>
      <w:bookmarkStart w:id="33" w:name="_Toc21932"/>
      <w:bookmarkStart w:id="34" w:name="_Toc9135"/>
      <w:bookmarkStart w:id="35" w:name="_Toc28712"/>
      <w:bookmarkStart w:id="36" w:name="_Toc31264"/>
      <w:r>
        <w:rPr>
          <w:rFonts w:hint="eastAsia" w:ascii="仿宋_GB2312" w:hAnsi="仿宋_GB2312" w:eastAsia="仿宋_GB2312" w:cs="Times New Roman"/>
          <w:b/>
          <w:bCs/>
          <w:kern w:val="2"/>
          <w:sz w:val="24"/>
          <w:szCs w:val="32"/>
          <w:lang w:val="en-US" w:eastAsia="zh-CN" w:bidi="ar-SA"/>
        </w:rPr>
        <w:t>三、</w:t>
      </w:r>
      <w:r>
        <w:rPr>
          <w:rFonts w:hint="eastAsia"/>
          <w:highlight w:val="none"/>
          <w:lang w:val="en-US" w:eastAsia="zh-CN"/>
        </w:rPr>
        <w:t>采购</w:t>
      </w:r>
      <w:r>
        <w:rPr>
          <w:rFonts w:hint="eastAsia"/>
          <w:highlight w:val="none"/>
        </w:rPr>
        <w:t>内容</w:t>
      </w:r>
      <w:bookmarkEnd w:id="28"/>
      <w:bookmarkEnd w:id="29"/>
      <w:bookmarkEnd w:id="30"/>
      <w:bookmarkEnd w:id="31"/>
      <w:bookmarkEnd w:id="32"/>
      <w:bookmarkEnd w:id="33"/>
      <w:bookmarkEnd w:id="34"/>
      <w:bookmarkEnd w:id="35"/>
      <w:bookmarkEnd w:id="36"/>
    </w:p>
    <w:p w14:paraId="2DBB5EBF">
      <w:pPr>
        <w:bidi w:val="0"/>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kern w:val="2"/>
          <w:sz w:val="24"/>
          <w:szCs w:val="24"/>
          <w:highlight w:val="none"/>
          <w:lang w:val="en-US" w:eastAsia="zh-CN" w:bidi="ar-SA"/>
        </w:rPr>
        <w:t>1.项目概况：</w:t>
      </w:r>
      <w:r>
        <w:rPr>
          <w:rFonts w:hint="eastAsia"/>
          <w:color w:val="auto"/>
          <w:highlight w:val="none"/>
          <w:u w:val="single"/>
          <w:lang w:val="en-US" w:eastAsia="zh-CN"/>
        </w:rPr>
        <w:t>（1）系统具有：费用报销、总账、固定资产、出纳、应收应付、个别财务报表、合并财务报表、数据分析、发票管理等模块。为财务管理系统进行规划、安装、配置和调试等，实现发票自动查验、智能化审批、智能财务报表生成、财务数据披露自动生成等功能，确保系统能够正常稳定运行且满足业务需求。（2）将原有系统的数据安全、准确地转移到新系统中，需保证原有财务数据的完整性、一致性和可用性。</w:t>
      </w:r>
    </w:p>
    <w:p w14:paraId="6C1E1E9A">
      <w:pPr>
        <w:bidi w:val="0"/>
        <w:ind w:firstLine="480"/>
        <w:rPr>
          <w:rFonts w:hint="eastAsia" w:cs="仿宋_GB2312"/>
          <w:color w:val="auto"/>
          <w:szCs w:val="24"/>
          <w:highlight w:val="none"/>
        </w:rPr>
      </w:pPr>
      <w:r>
        <w:rPr>
          <w:rFonts w:hint="eastAsia" w:ascii="仿宋_GB2312" w:hAnsi="仿宋_GB2312" w:eastAsia="仿宋_GB2312" w:cs="仿宋_GB2312"/>
          <w:color w:val="auto"/>
          <w:kern w:val="2"/>
          <w:sz w:val="24"/>
          <w:szCs w:val="24"/>
          <w:highlight w:val="none"/>
          <w:lang w:val="en-US" w:eastAsia="zh-CN" w:bidi="ar-SA"/>
        </w:rPr>
        <w:t>2.采购范围：</w:t>
      </w:r>
      <w:r>
        <w:rPr>
          <w:rFonts w:hint="eastAsia" w:cs="仿宋_GB2312"/>
          <w:color w:val="auto"/>
          <w:szCs w:val="24"/>
          <w:highlight w:val="none"/>
          <w:lang w:eastAsia="zh-CN"/>
        </w:rPr>
        <w:t>成交供应商</w:t>
      </w:r>
      <w:r>
        <w:rPr>
          <w:rFonts w:hint="eastAsia" w:cs="仿宋_GB2312"/>
          <w:color w:val="auto"/>
          <w:szCs w:val="24"/>
          <w:highlight w:val="none"/>
        </w:rPr>
        <w:t>需按照</w:t>
      </w:r>
      <w:r>
        <w:rPr>
          <w:rFonts w:hint="eastAsia" w:cs="仿宋_GB2312"/>
          <w:color w:val="auto"/>
          <w:szCs w:val="24"/>
          <w:highlight w:val="none"/>
          <w:lang w:val="en-US" w:eastAsia="zh-CN"/>
        </w:rPr>
        <w:t>磋商</w:t>
      </w:r>
      <w:r>
        <w:rPr>
          <w:rFonts w:hint="eastAsia" w:cs="仿宋_GB2312"/>
          <w:color w:val="auto"/>
          <w:szCs w:val="24"/>
          <w:highlight w:val="none"/>
        </w:rPr>
        <w:t>文</w:t>
      </w:r>
      <w:r>
        <w:rPr>
          <w:rFonts w:hint="eastAsia" w:cs="仿宋_GB2312"/>
          <w:color w:val="auto"/>
          <w:szCs w:val="24"/>
          <w:highlight w:val="none"/>
          <w:lang w:eastAsia="zh-CN"/>
        </w:rPr>
        <w:t>件要求提供</w:t>
      </w:r>
      <w:r>
        <w:rPr>
          <w:rFonts w:hint="eastAsia" w:cs="仿宋_GB2312"/>
          <w:color w:val="auto"/>
          <w:szCs w:val="24"/>
          <w:highlight w:val="none"/>
          <w:lang w:val="en-US" w:eastAsia="zh-CN"/>
        </w:rPr>
        <w:t>财务管理系统</w:t>
      </w:r>
      <w:r>
        <w:rPr>
          <w:rFonts w:hint="eastAsia" w:cs="仿宋_GB2312"/>
          <w:color w:val="auto"/>
          <w:szCs w:val="24"/>
          <w:highlight w:val="none"/>
        </w:rPr>
        <w:t>。</w:t>
      </w:r>
    </w:p>
    <w:p w14:paraId="7244AA11">
      <w:pPr>
        <w:bidi w:val="0"/>
        <w:ind w:firstLine="480"/>
        <w:rPr>
          <w:rFonts w:hint="eastAsia" w:eastAsia="仿宋_GB2312" w:cs="仿宋_GB2312"/>
          <w:color w:val="auto"/>
          <w:szCs w:val="24"/>
          <w:highlight w:val="none"/>
          <w:lang w:val="en-US" w:eastAsia="zh-CN"/>
        </w:rPr>
      </w:pPr>
      <w:r>
        <w:rPr>
          <w:rFonts w:hint="eastAsia" w:cs="仿宋_GB2312"/>
          <w:color w:val="auto"/>
          <w:szCs w:val="24"/>
          <w:highlight w:val="none"/>
          <w:lang w:val="en-US" w:eastAsia="zh-CN"/>
        </w:rPr>
        <w:t>3.服务期：服务期共 2 年。</w:t>
      </w:r>
    </w:p>
    <w:p w14:paraId="29B73671">
      <w:pPr>
        <w:spacing w:line="400" w:lineRule="exact"/>
        <w:ind w:firstLine="480" w:firstLineChars="200"/>
        <w:rPr>
          <w:rFonts w:hint="eastAsia" w:ascii="仿宋_GB2312" w:hAnsi="仿宋_GB2312" w:eastAsia="仿宋_GB2312" w:cs="仿宋_GB2312"/>
          <w:color w:val="auto"/>
          <w:sz w:val="24"/>
          <w:szCs w:val="24"/>
          <w:highlight w:val="none"/>
          <w:u w:val="none"/>
          <w:lang w:val="en-US" w:eastAsia="zh-CN"/>
        </w:rPr>
      </w:pPr>
      <w:r>
        <w:rPr>
          <w:rFonts w:hint="eastAsia"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val="en-US" w:eastAsia="zh-CN"/>
        </w:rPr>
        <w:t>.</w:t>
      </w:r>
      <w:r>
        <w:rPr>
          <w:rFonts w:hint="eastAsia" w:cs="仿宋_GB2312"/>
          <w:color w:val="auto"/>
          <w:sz w:val="24"/>
          <w:szCs w:val="24"/>
          <w:highlight w:val="none"/>
          <w:u w:val="none"/>
          <w:lang w:val="en-US" w:eastAsia="zh-CN"/>
        </w:rPr>
        <w:t>采购金额：</w:t>
      </w:r>
      <w:r>
        <w:rPr>
          <w:rFonts w:hint="eastAsia" w:cs="仿宋_GB2312"/>
          <w:color w:val="auto"/>
          <w:szCs w:val="24"/>
          <w:highlight w:val="none"/>
        </w:rPr>
        <w:t>暂定</w:t>
      </w:r>
      <w:r>
        <w:rPr>
          <w:rFonts w:hint="eastAsia" w:cs="仿宋_GB2312"/>
          <w:bCs w:val="0"/>
          <w:color w:val="auto"/>
          <w:szCs w:val="24"/>
          <w:highlight w:val="none"/>
          <w:u w:val="none"/>
          <w:lang w:val="en-US" w:eastAsia="zh-CN"/>
        </w:rPr>
        <w:t>96</w:t>
      </w:r>
      <w:r>
        <w:rPr>
          <w:rFonts w:hint="eastAsia" w:cs="仿宋_GB2312"/>
          <w:bCs w:val="0"/>
          <w:color w:val="auto"/>
          <w:szCs w:val="24"/>
          <w:highlight w:val="none"/>
        </w:rPr>
        <w:t>万元</w:t>
      </w:r>
      <w:r>
        <w:rPr>
          <w:rFonts w:hint="eastAsia" w:cs="仿宋_GB2312"/>
          <w:bCs w:val="0"/>
          <w:color w:val="auto"/>
          <w:szCs w:val="24"/>
          <w:highlight w:val="none"/>
          <w:lang w:eastAsia="zh-CN"/>
        </w:rPr>
        <w:t>（含税）</w:t>
      </w:r>
      <w:r>
        <w:rPr>
          <w:rFonts w:hint="eastAsia" w:cs="仿宋_GB2312"/>
          <w:bCs w:val="0"/>
          <w:color w:val="auto"/>
          <w:szCs w:val="24"/>
          <w:highlight w:val="none"/>
        </w:rPr>
        <w:t>，最终以实际结算为准。</w:t>
      </w:r>
    </w:p>
    <w:p w14:paraId="31F749F1">
      <w:pPr>
        <w:spacing w:line="400" w:lineRule="exact"/>
        <w:ind w:firstLine="480" w:firstLineChars="200"/>
        <w:jc w:val="left"/>
        <w:rPr>
          <w:rFonts w:hint="eastAsia" w:ascii="仿宋_GB2312" w:hAnsi="仿宋_GB2312" w:eastAsia="仿宋_GB2312" w:cs="仿宋_GB2312"/>
          <w:color w:val="auto"/>
          <w:sz w:val="24"/>
          <w:szCs w:val="24"/>
          <w:highlight w:val="none"/>
          <w:u w:val="none"/>
          <w:lang w:val="en-US" w:eastAsia="zh-CN"/>
        </w:rPr>
      </w:pPr>
      <w:r>
        <w:rPr>
          <w:rFonts w:hint="eastAsia"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val="en-US" w:eastAsia="zh-CN"/>
        </w:rPr>
        <w:t>.标段划分：</w:t>
      </w:r>
      <w:r>
        <w:rPr>
          <w:rFonts w:hint="eastAsia" w:ascii="仿宋_GB2312" w:hAnsi="仿宋_GB2312" w:eastAsia="仿宋_GB2312" w:cs="仿宋_GB2312"/>
          <w:color w:val="auto"/>
          <w:sz w:val="24"/>
          <w:szCs w:val="24"/>
          <w:highlight w:val="none"/>
          <w:u w:val="none"/>
          <w:lang w:val="en-US" w:eastAsia="zh-CN"/>
        </w:rPr>
        <w:t>本项目共分1个标段，选择</w:t>
      </w:r>
      <w:r>
        <w:rPr>
          <w:rFonts w:hint="eastAsia" w:cs="仿宋_GB2312"/>
          <w:color w:val="auto"/>
          <w:sz w:val="24"/>
          <w:szCs w:val="24"/>
          <w:highlight w:val="none"/>
          <w:u w:val="none"/>
          <w:lang w:val="en-US" w:eastAsia="zh-CN"/>
        </w:rPr>
        <w:t>1</w:t>
      </w:r>
      <w:r>
        <w:rPr>
          <w:rFonts w:hint="eastAsia" w:ascii="仿宋_GB2312" w:hAnsi="仿宋_GB2312" w:eastAsia="仿宋_GB2312" w:cs="仿宋_GB2312"/>
          <w:color w:val="auto"/>
          <w:sz w:val="24"/>
          <w:szCs w:val="24"/>
          <w:highlight w:val="none"/>
          <w:u w:val="none"/>
          <w:lang w:val="en-US" w:eastAsia="zh-CN"/>
        </w:rPr>
        <w:t>个</w:t>
      </w:r>
      <w:r>
        <w:rPr>
          <w:rFonts w:hint="eastAsia" w:cs="仿宋_GB2312"/>
          <w:color w:val="auto"/>
          <w:sz w:val="24"/>
          <w:szCs w:val="24"/>
          <w:highlight w:val="none"/>
          <w:u w:val="none"/>
          <w:lang w:val="en-US" w:eastAsia="zh-CN"/>
        </w:rPr>
        <w:t>成交供应商</w:t>
      </w:r>
      <w:r>
        <w:rPr>
          <w:rFonts w:hint="eastAsia" w:ascii="仿宋_GB2312" w:hAnsi="仿宋_GB2312" w:eastAsia="仿宋_GB2312" w:cs="仿宋_GB2312"/>
          <w:color w:val="auto"/>
          <w:sz w:val="24"/>
          <w:szCs w:val="24"/>
          <w:highlight w:val="none"/>
          <w:u w:val="none"/>
          <w:lang w:val="en-US" w:eastAsia="zh-CN"/>
        </w:rPr>
        <w:t>。</w:t>
      </w:r>
    </w:p>
    <w:p w14:paraId="07075EB1">
      <w:pPr>
        <w:keepNext w:val="0"/>
        <w:keepLines w:val="0"/>
        <w:adjustRightInd/>
        <w:snapToGrid/>
        <w:spacing w:before="0" w:after="0" w:line="400" w:lineRule="exact"/>
        <w:ind w:firstLine="480"/>
        <w:outlineLvl w:val="9"/>
        <w:rPr>
          <w:rFonts w:hint="eastAsia" w:ascii="仿宋_GB2312" w:hAnsi="仿宋_GB2312" w:eastAsia="仿宋_GB2312" w:cs="仿宋_GB2312"/>
          <w:color w:val="auto"/>
          <w:sz w:val="24"/>
          <w:szCs w:val="24"/>
          <w:highlight w:val="none"/>
          <w:u w:val="none"/>
          <w:lang w:val="en-US" w:eastAsia="zh-CN"/>
        </w:rPr>
      </w:pPr>
      <w:r>
        <w:rPr>
          <w:rFonts w:hint="eastAsia" w:cs="仿宋_GB2312"/>
          <w:color w:val="auto"/>
          <w:sz w:val="24"/>
          <w:szCs w:val="24"/>
          <w:highlight w:val="none"/>
          <w:u w:val="none"/>
          <w:lang w:val="en-US" w:eastAsia="zh-CN"/>
        </w:rPr>
        <w:t>6.工</w:t>
      </w:r>
      <w:r>
        <w:rPr>
          <w:rFonts w:hint="eastAsia" w:cs="仿宋_GB2312"/>
          <w:bCs w:val="0"/>
          <w:color w:val="auto"/>
          <w:sz w:val="24"/>
          <w:szCs w:val="24"/>
          <w:highlight w:val="none"/>
          <w:u w:val="none"/>
          <w:lang w:val="en-US" w:eastAsia="zh-CN"/>
        </w:rPr>
        <w:t>期要求：本集团财务系统蓝图建设总工期为2个月，在规定的时间节点内完成全部模块的建设，工期从系统开通之日的日期开始计算。</w:t>
      </w:r>
    </w:p>
    <w:p w14:paraId="7AC8A333">
      <w:pPr>
        <w:pStyle w:val="3"/>
        <w:numPr>
          <w:ilvl w:val="0"/>
          <w:numId w:val="0"/>
        </w:numPr>
        <w:bidi w:val="0"/>
        <w:ind w:left="0" w:leftChars="0" w:firstLine="480" w:firstLineChars="200"/>
        <w:rPr>
          <w:highlight w:val="none"/>
        </w:rPr>
      </w:pPr>
      <w:bookmarkStart w:id="37" w:name="_Toc24558"/>
      <w:bookmarkStart w:id="38" w:name="_Toc20679"/>
      <w:bookmarkStart w:id="39" w:name="_Toc16147"/>
      <w:bookmarkStart w:id="40" w:name="_Toc22848"/>
      <w:bookmarkStart w:id="41" w:name="_Toc12642"/>
      <w:bookmarkStart w:id="42" w:name="_Toc11729"/>
      <w:bookmarkStart w:id="43" w:name="_Toc13693"/>
      <w:bookmarkStart w:id="44" w:name="_Toc5833"/>
      <w:bookmarkStart w:id="45" w:name="_Toc144"/>
      <w:r>
        <w:rPr>
          <w:rFonts w:hint="eastAsia" w:ascii="仿宋_GB2312" w:hAnsi="仿宋_GB2312" w:eastAsia="仿宋_GB2312" w:cs="Times New Roman"/>
          <w:b/>
          <w:bCs/>
          <w:kern w:val="2"/>
          <w:sz w:val="24"/>
          <w:szCs w:val="32"/>
          <w:lang w:val="en-US" w:eastAsia="zh-CN" w:bidi="ar-SA"/>
        </w:rPr>
        <w:t>四、</w:t>
      </w:r>
      <w:r>
        <w:rPr>
          <w:rFonts w:hint="eastAsia"/>
          <w:highlight w:val="none"/>
          <w:lang w:eastAsia="zh-CN"/>
        </w:rPr>
        <w:t>供应商</w:t>
      </w:r>
      <w:r>
        <w:rPr>
          <w:rFonts w:hint="eastAsia"/>
          <w:highlight w:val="none"/>
        </w:rPr>
        <w:t>资格要求</w:t>
      </w:r>
      <w:bookmarkEnd w:id="37"/>
      <w:bookmarkEnd w:id="38"/>
      <w:bookmarkEnd w:id="39"/>
      <w:bookmarkEnd w:id="40"/>
      <w:bookmarkEnd w:id="41"/>
      <w:bookmarkEnd w:id="42"/>
      <w:bookmarkEnd w:id="43"/>
      <w:bookmarkEnd w:id="44"/>
      <w:bookmarkEnd w:id="45"/>
    </w:p>
    <w:p w14:paraId="5DF2605E">
      <w:pPr>
        <w:spacing w:line="400" w:lineRule="exact"/>
        <w:ind w:firstLine="480" w:firstLineChars="2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（一）基本资格要求</w:t>
      </w:r>
    </w:p>
    <w:p w14:paraId="570CC95E">
      <w:pPr>
        <w:spacing w:line="40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1.具有独立承担民事责任的能力；</w:t>
      </w:r>
    </w:p>
    <w:p w14:paraId="144A9C1E">
      <w:pPr>
        <w:spacing w:line="40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2.具有良好的商业信誉和健全的财务会计制度；</w:t>
      </w:r>
    </w:p>
    <w:p w14:paraId="438AF9C6">
      <w:pPr>
        <w:spacing w:line="40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3.具有依法缴纳税收的良好记录；</w:t>
      </w:r>
    </w:p>
    <w:p w14:paraId="69ABF5A4">
      <w:pPr>
        <w:spacing w:line="40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4.具有履行合同所必需的设备和专业技术能力；</w:t>
      </w:r>
    </w:p>
    <w:p w14:paraId="00E33C22">
      <w:pPr>
        <w:spacing w:line="40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5.参加采购活动前三年内，在经营活动中没有重大违法记录；</w:t>
      </w:r>
    </w:p>
    <w:p w14:paraId="74B8342C">
      <w:pPr>
        <w:spacing w:line="40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6.信誉证明：</w:t>
      </w:r>
      <w:r>
        <w:rPr>
          <w:rFonts w:hint="eastAsia"/>
          <w:color w:val="auto"/>
          <w:highlight w:val="none"/>
          <w:lang w:eastAsia="zh-CN"/>
        </w:rPr>
        <w:t>供应商</w:t>
      </w:r>
      <w:r>
        <w:rPr>
          <w:rFonts w:hint="eastAsia"/>
          <w:color w:val="auto"/>
          <w:highlight w:val="none"/>
        </w:rPr>
        <w:t>未被“中国执行信息公开网”网站列入“失信被执行人”和未被“信用中国”网站列入“重大税收违法案件当事人”名单、未被“中国政府采购网”网站列入“政府采购严重违法失信行为记录”名单（处罚期限尚未届满的）；</w:t>
      </w:r>
    </w:p>
    <w:p w14:paraId="79A3F795">
      <w:pPr>
        <w:spacing w:line="40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7.单位负责人为同一人或者存在直接控股、管理关系的不同</w:t>
      </w:r>
      <w:r>
        <w:rPr>
          <w:rFonts w:hint="eastAsia"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lang w:val="en-US" w:eastAsia="zh-CN"/>
        </w:rPr>
        <w:t>，不得参加同一标段投标或者未划分标段的同一招标项目；</w:t>
      </w:r>
    </w:p>
    <w:p w14:paraId="6C543CB7">
      <w:pPr>
        <w:spacing w:line="40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lang w:val="en-US" w:eastAsia="zh-CN"/>
        </w:rPr>
        <w:t>.法律、行政法规规定的其他条件</w:t>
      </w:r>
      <w:r>
        <w:rPr>
          <w:rFonts w:hint="eastAsia" w:cs="仿宋_GB2312"/>
          <w:color w:val="auto"/>
          <w:sz w:val="24"/>
          <w:szCs w:val="24"/>
          <w:highlight w:val="none"/>
          <w:lang w:val="en-US" w:eastAsia="zh-CN"/>
        </w:rPr>
        <w:t>。</w:t>
      </w:r>
    </w:p>
    <w:p w14:paraId="3F44506E">
      <w:pPr>
        <w:bidi w:val="0"/>
        <w:rPr>
          <w:rFonts w:hint="eastAsia"/>
          <w:color w:val="auto"/>
          <w:highlight w:val="none"/>
          <w:lang w:val="en-US" w:eastAsia="zh-CN"/>
        </w:rPr>
      </w:pPr>
      <w:r>
        <w:rPr>
          <w:rFonts w:hint="eastAsia"/>
          <w:b/>
          <w:bCs/>
          <w:color w:val="auto"/>
          <w:highlight w:val="none"/>
          <w:lang w:val="en-US" w:eastAsia="zh-CN"/>
        </w:rPr>
        <w:t>（二）特殊资格要求</w:t>
      </w:r>
    </w:p>
    <w:p w14:paraId="2D125E9B">
      <w:pPr>
        <w:ind w:left="0" w:leftChars="0" w:firstLine="480" w:firstLineChars="200"/>
        <w:jc w:val="left"/>
        <w:rPr>
          <w:rFonts w:hint="eastAsia" w:ascii="仿宋" w:hAnsi="仿宋" w:eastAsia="仿宋" w:cs="仿宋"/>
          <w:color w:val="auto"/>
          <w:sz w:val="24"/>
          <w:szCs w:val="24"/>
          <w:highlight w:val="none"/>
          <w:lang w:val="en-US" w:eastAsia="zh-CN"/>
        </w:rPr>
      </w:pPr>
      <w:r>
        <w:rPr>
          <w:rFonts w:hint="eastAsia" w:cs="Times New Roman"/>
          <w:color w:val="auto"/>
          <w:highlight w:val="none"/>
          <w:lang w:val="en-US" w:eastAsia="zh-CN"/>
        </w:rPr>
        <w:t>（1）本项目是否接受联合体投标：不接受。</w:t>
      </w:r>
    </w:p>
    <w:p w14:paraId="7817BEFE">
      <w:pPr>
        <w:spacing w:line="400" w:lineRule="exact"/>
        <w:ind w:firstLine="480" w:firstLineChars="200"/>
        <w:rPr>
          <w:rFonts w:hint="eastAsia"/>
          <w:color w:val="auto"/>
          <w:highlight w:val="none"/>
          <w:u w:val="single"/>
          <w:lang w:val="en-US" w:eastAsia="zh-CN"/>
        </w:rPr>
      </w:pPr>
      <w:r>
        <w:rPr>
          <w:rFonts w:hint="eastAsia"/>
          <w:color w:val="auto"/>
          <w:highlight w:val="none"/>
          <w:lang w:val="en-US" w:eastAsia="zh-CN"/>
        </w:rPr>
        <w:t>（2）其他：</w:t>
      </w:r>
      <w:r>
        <w:rPr>
          <w:rFonts w:hint="eastAsia"/>
          <w:color w:val="auto"/>
          <w:highlight w:val="none"/>
          <w:u w:val="single"/>
          <w:lang w:val="en-US" w:eastAsia="zh-CN"/>
        </w:rPr>
        <w:t xml:space="preserve"> </w:t>
      </w:r>
      <w:r>
        <w:rPr>
          <w:rFonts w:hint="eastAsia"/>
          <w:b w:val="0"/>
          <w:bCs w:val="0"/>
          <w:color w:val="auto"/>
          <w:highlight w:val="none"/>
          <w:u w:val="single"/>
          <w:lang w:val="en-US" w:eastAsia="zh-CN"/>
        </w:rPr>
        <w:t xml:space="preserve"> / </w:t>
      </w:r>
      <w:r>
        <w:rPr>
          <w:rFonts w:hint="eastAsia"/>
          <w:color w:val="auto"/>
          <w:highlight w:val="none"/>
          <w:u w:val="single"/>
          <w:lang w:val="en-US" w:eastAsia="zh-CN"/>
        </w:rPr>
        <w:t xml:space="preserve"> </w:t>
      </w:r>
      <w:r>
        <w:rPr>
          <w:rFonts w:hint="eastAsia"/>
          <w:color w:val="auto"/>
          <w:highlight w:val="none"/>
          <w:u w:val="none"/>
          <w:lang w:val="en-US" w:eastAsia="zh-CN"/>
        </w:rPr>
        <w:t>。</w:t>
      </w:r>
    </w:p>
    <w:p w14:paraId="4FCEE29A">
      <w:pPr>
        <w:pStyle w:val="3"/>
        <w:numPr>
          <w:ilvl w:val="0"/>
          <w:numId w:val="0"/>
        </w:numPr>
        <w:bidi w:val="0"/>
        <w:ind w:left="0" w:leftChars="0" w:firstLine="480" w:firstLineChars="200"/>
        <w:rPr>
          <w:rFonts w:hint="default"/>
          <w:highlight w:val="none"/>
          <w:lang w:val="en-US" w:eastAsia="zh-CN"/>
        </w:rPr>
      </w:pPr>
      <w:bookmarkStart w:id="46" w:name="_Toc1696"/>
      <w:bookmarkStart w:id="47" w:name="_Toc20829"/>
      <w:bookmarkStart w:id="48" w:name="_Toc10123"/>
      <w:bookmarkStart w:id="49" w:name="_Toc18456"/>
      <w:bookmarkStart w:id="50" w:name="_Toc9755"/>
      <w:bookmarkStart w:id="51" w:name="_Toc20648"/>
      <w:bookmarkStart w:id="52" w:name="_Toc32072"/>
      <w:bookmarkStart w:id="53" w:name="_Toc10957"/>
      <w:bookmarkStart w:id="54" w:name="_Toc136"/>
      <w:r>
        <w:rPr>
          <w:rFonts w:hint="eastAsia" w:ascii="仿宋_GB2312" w:hAnsi="仿宋_GB2312" w:eastAsia="仿宋_GB2312" w:cs="Times New Roman"/>
          <w:b/>
          <w:bCs/>
          <w:kern w:val="2"/>
          <w:sz w:val="24"/>
          <w:szCs w:val="32"/>
          <w:lang w:val="en-US" w:eastAsia="zh-CN" w:bidi="ar-SA"/>
        </w:rPr>
        <w:t>五、</w:t>
      </w:r>
      <w:r>
        <w:rPr>
          <w:rFonts w:hint="eastAsia"/>
          <w:highlight w:val="none"/>
          <w:lang w:val="en-US" w:eastAsia="zh-CN"/>
        </w:rPr>
        <w:t>采购</w:t>
      </w:r>
      <w:r>
        <w:rPr>
          <w:rFonts w:hint="eastAsia"/>
          <w:highlight w:val="none"/>
        </w:rPr>
        <w:t>方式</w:t>
      </w:r>
      <w:r>
        <w:rPr>
          <w:rFonts w:hint="eastAsia"/>
          <w:highlight w:val="none"/>
          <w:lang w:eastAsia="zh-CN"/>
        </w:rPr>
        <w:t>：</w:t>
      </w:r>
      <w:r>
        <w:rPr>
          <w:rFonts w:hint="eastAsia"/>
          <w:highlight w:val="none"/>
          <w:lang w:val="en-US" w:eastAsia="zh-CN"/>
        </w:rPr>
        <w:t>竞争性磋商</w:t>
      </w:r>
      <w:bookmarkEnd w:id="46"/>
      <w:bookmarkEnd w:id="47"/>
      <w:bookmarkEnd w:id="48"/>
      <w:bookmarkEnd w:id="49"/>
      <w:bookmarkEnd w:id="50"/>
      <w:bookmarkEnd w:id="51"/>
      <w:bookmarkEnd w:id="52"/>
      <w:bookmarkEnd w:id="53"/>
      <w:bookmarkEnd w:id="54"/>
    </w:p>
    <w:p w14:paraId="6DAFE8EB">
      <w:pPr>
        <w:pStyle w:val="3"/>
        <w:numPr>
          <w:ilvl w:val="0"/>
          <w:numId w:val="0"/>
        </w:numPr>
        <w:ind w:left="0" w:leftChars="0" w:firstLine="480" w:firstLineChars="200"/>
        <w:rPr>
          <w:highlight w:val="none"/>
        </w:rPr>
      </w:pPr>
      <w:bookmarkStart w:id="55" w:name="_Toc29141"/>
      <w:bookmarkStart w:id="56" w:name="_Toc8478"/>
      <w:bookmarkStart w:id="57" w:name="_Toc13569"/>
      <w:bookmarkStart w:id="58" w:name="_Toc2042"/>
      <w:bookmarkStart w:id="59" w:name="_Toc28459"/>
      <w:bookmarkStart w:id="60" w:name="_Toc8784"/>
      <w:bookmarkStart w:id="61" w:name="_Toc20301"/>
      <w:bookmarkStart w:id="62" w:name="_Toc20847"/>
      <w:bookmarkStart w:id="63" w:name="_Toc28504"/>
      <w:bookmarkStart w:id="64" w:name="_Toc6862"/>
      <w:bookmarkStart w:id="65" w:name="_Toc7260"/>
      <w:r>
        <w:rPr>
          <w:rFonts w:hint="eastAsia"/>
          <w:highlight w:val="none"/>
        </w:rPr>
        <w:t>六、文件的获取</w:t>
      </w:r>
      <w:bookmarkEnd w:id="55"/>
      <w:bookmarkEnd w:id="56"/>
      <w:bookmarkEnd w:id="57"/>
      <w:bookmarkEnd w:id="58"/>
      <w:bookmarkEnd w:id="59"/>
      <w:bookmarkEnd w:id="60"/>
      <w:bookmarkEnd w:id="61"/>
      <w:bookmarkEnd w:id="62"/>
      <w:bookmarkEnd w:id="63"/>
      <w:bookmarkEnd w:id="64"/>
    </w:p>
    <w:p w14:paraId="5308460C">
      <w:pPr>
        <w:bidi w:val="0"/>
        <w:rPr>
          <w:rFonts w:hint="eastAsia"/>
          <w:highlight w:val="none"/>
        </w:rPr>
      </w:pPr>
      <w:r>
        <w:rPr>
          <w:rFonts w:hint="eastAsia"/>
          <w:highlight w:val="none"/>
        </w:rPr>
        <w:t>获取时间：202</w:t>
      </w:r>
      <w:r>
        <w:rPr>
          <w:rFonts w:hint="eastAsia"/>
          <w:highlight w:val="none"/>
          <w:lang w:val="en-US" w:eastAsia="zh-CN"/>
        </w:rPr>
        <w:t>6</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30</w:t>
      </w:r>
      <w:r>
        <w:rPr>
          <w:rFonts w:hint="eastAsia"/>
          <w:highlight w:val="none"/>
        </w:rPr>
        <w:t>日至202</w:t>
      </w:r>
      <w:r>
        <w:rPr>
          <w:rFonts w:hint="eastAsia"/>
          <w:highlight w:val="none"/>
          <w:lang w:val="en-US" w:eastAsia="zh-CN"/>
        </w:rPr>
        <w:t>6</w:t>
      </w:r>
      <w:r>
        <w:rPr>
          <w:rFonts w:hint="eastAsia"/>
          <w:highlight w:val="none"/>
        </w:rPr>
        <w:t>年</w:t>
      </w:r>
      <w:r>
        <w:rPr>
          <w:rFonts w:hint="eastAsia"/>
          <w:highlight w:val="none"/>
          <w:lang w:val="en-US" w:eastAsia="zh-CN"/>
        </w:rPr>
        <w:t>2</w:t>
      </w:r>
      <w:r>
        <w:rPr>
          <w:rFonts w:hint="eastAsia"/>
          <w:highlight w:val="none"/>
        </w:rPr>
        <w:t>月</w:t>
      </w:r>
      <w:r>
        <w:rPr>
          <w:rFonts w:hint="eastAsia"/>
          <w:highlight w:val="none"/>
          <w:lang w:val="en-US" w:eastAsia="zh-CN"/>
        </w:rPr>
        <w:t>6</w:t>
      </w:r>
      <w:r>
        <w:rPr>
          <w:rFonts w:hint="eastAsia"/>
          <w:highlight w:val="none"/>
        </w:rPr>
        <w:t>日</w:t>
      </w:r>
      <w:r>
        <w:rPr>
          <w:rFonts w:hint="eastAsia" w:cs="仿宋_GB2312"/>
          <w:szCs w:val="24"/>
          <w:highlight w:val="none"/>
          <w:lang w:val="en-US" w:eastAsia="zh-CN"/>
        </w:rPr>
        <w:t>17</w:t>
      </w:r>
      <w:r>
        <w:rPr>
          <w:rFonts w:hint="eastAsia" w:cs="仿宋_GB2312"/>
          <w:szCs w:val="24"/>
          <w:highlight w:val="none"/>
        </w:rPr>
        <w:t>时00分</w:t>
      </w:r>
      <w:r>
        <w:rPr>
          <w:rFonts w:hint="eastAsia"/>
          <w:highlight w:val="none"/>
        </w:rPr>
        <w:t>（北京时间）；</w:t>
      </w:r>
    </w:p>
    <w:p w14:paraId="64E37057">
      <w:pPr>
        <w:bidi w:val="0"/>
        <w:rPr>
          <w:rFonts w:hint="eastAsia"/>
          <w:highlight w:val="none"/>
        </w:rPr>
      </w:pPr>
      <w:r>
        <w:rPr>
          <w:rFonts w:hint="eastAsia"/>
          <w:highlight w:val="none"/>
        </w:rPr>
        <w:t>获取地点：登录萍乡建工集团智慧采购平台（网址：http://ztb.pxjgceg.jczh.com/）公告查看页面点击“立即参与”，缴纳平台使用费获取电子招标文件及其它资料，未获取电子招标文件及其他材料的不能参与本项目采购。（未注册的供应商须先完成注册登记并通过审核）</w:t>
      </w:r>
    </w:p>
    <w:p w14:paraId="7C6311A3">
      <w:pPr>
        <w:bidi w:val="0"/>
        <w:rPr>
          <w:rFonts w:hint="eastAsia"/>
          <w:highlight w:val="none"/>
        </w:rPr>
      </w:pPr>
      <w:r>
        <w:rPr>
          <w:rFonts w:hint="eastAsia"/>
          <w:highlight w:val="none"/>
        </w:rPr>
        <w:t>备注：</w:t>
      </w:r>
    </w:p>
    <w:p w14:paraId="1138F887">
      <w:pPr>
        <w:bidi w:val="0"/>
        <w:rPr>
          <w:rFonts w:hint="eastAsia"/>
          <w:highlight w:val="none"/>
        </w:rPr>
      </w:pPr>
      <w:r>
        <w:rPr>
          <w:rFonts w:hint="eastAsia"/>
          <w:highlight w:val="none"/>
        </w:rPr>
        <w:t>(1)具体注册事宜可登录萍乡建工集团智慧采购平台（网址：http://ztb.pxjgceg.jczh.com/）查看“帮助专区”；</w:t>
      </w:r>
    </w:p>
    <w:p w14:paraId="685D873D">
      <w:pPr>
        <w:bidi w:val="0"/>
        <w:rPr>
          <w:rFonts w:hint="eastAsia"/>
          <w:highlight w:val="none"/>
        </w:rPr>
      </w:pPr>
      <w:r>
        <w:rPr>
          <w:rFonts w:hint="eastAsia"/>
          <w:highlight w:val="none"/>
        </w:rPr>
        <w:t>(2)相关问题也可拨打咨询电话：400-8566-100（注册咨询电话，晚上21：00前）；</w:t>
      </w:r>
    </w:p>
    <w:p w14:paraId="69ED7662">
      <w:pPr>
        <w:bidi w:val="0"/>
        <w:rPr>
          <w:rFonts w:hint="eastAsia"/>
          <w:highlight w:val="none"/>
        </w:rPr>
      </w:pPr>
      <w:r>
        <w:rPr>
          <w:rFonts w:hint="eastAsia"/>
          <w:highlight w:val="none"/>
        </w:rPr>
        <w:t>(3)以上手续必须在招标文件获取期内完成，因未及时办理注册审核手续影响获取招标文件及参加投标的，责任自负。</w:t>
      </w:r>
    </w:p>
    <w:p w14:paraId="6A0AF946">
      <w:pPr>
        <w:bidi w:val="0"/>
        <w:rPr>
          <w:rFonts w:hint="eastAsia" w:cs="仿宋_GB2312"/>
          <w:b w:val="0"/>
          <w:bCs w:val="0"/>
          <w:color w:val="auto"/>
          <w:sz w:val="24"/>
          <w:szCs w:val="24"/>
          <w:highlight w:val="none"/>
          <w:lang w:val="en-US" w:eastAsia="zh-CN"/>
        </w:rPr>
      </w:pPr>
      <w:r>
        <w:rPr>
          <w:rFonts w:hint="eastAsia"/>
          <w:highlight w:val="none"/>
        </w:rPr>
        <w:t>(4)本次招标公告同时在中国招标投标公共服务平台（网址：http://www.cebpubservice.com/）、萍乡市国有企业采购平台（网址： https://pxsgqcg.jczh.com/ ）、萍乡建工集团智慧采购平台（网址：http://ztb.pxjgceg.jczh.com/）、江西萍乡建工集团有限公司电子招标平台（网址：https://ztb.jxzhhm.com/）上发布。</w:t>
      </w:r>
    </w:p>
    <w:bookmarkEnd w:id="65"/>
    <w:p w14:paraId="003A96E4">
      <w:pPr>
        <w:pStyle w:val="3"/>
        <w:numPr>
          <w:ilvl w:val="0"/>
          <w:numId w:val="0"/>
        </w:numPr>
        <w:ind w:left="0" w:leftChars="0" w:firstLine="480" w:firstLineChars="200"/>
        <w:rPr>
          <w:highlight w:val="none"/>
        </w:rPr>
      </w:pPr>
      <w:bookmarkStart w:id="66" w:name="_Toc21236"/>
      <w:bookmarkStart w:id="67" w:name="_Toc22627"/>
      <w:bookmarkStart w:id="68" w:name="_Toc30532"/>
      <w:bookmarkStart w:id="69" w:name="_Toc7857"/>
      <w:bookmarkStart w:id="70" w:name="_Toc27941"/>
      <w:bookmarkStart w:id="71" w:name="_Toc4445"/>
      <w:bookmarkStart w:id="72" w:name="_Toc8578"/>
      <w:bookmarkStart w:id="73" w:name="_Toc6095"/>
      <w:r>
        <w:rPr>
          <w:rFonts w:hint="eastAsia"/>
          <w:highlight w:val="none"/>
        </w:rPr>
        <w:t>七、</w:t>
      </w:r>
      <w:r>
        <w:rPr>
          <w:rFonts w:hint="eastAsia"/>
          <w:highlight w:val="none"/>
          <w:lang w:eastAsia="zh-CN"/>
        </w:rPr>
        <w:t>磋商</w:t>
      </w:r>
      <w:r>
        <w:rPr>
          <w:rFonts w:hint="eastAsia"/>
          <w:highlight w:val="none"/>
        </w:rPr>
        <w:t>保证金</w:t>
      </w:r>
      <w:bookmarkEnd w:id="66"/>
      <w:bookmarkEnd w:id="67"/>
      <w:bookmarkEnd w:id="68"/>
      <w:bookmarkEnd w:id="69"/>
      <w:bookmarkEnd w:id="70"/>
      <w:bookmarkEnd w:id="71"/>
      <w:bookmarkEnd w:id="72"/>
      <w:bookmarkEnd w:id="73"/>
    </w:p>
    <w:p w14:paraId="112AABF9">
      <w:pPr>
        <w:ind w:firstLine="480"/>
        <w:rPr>
          <w:rFonts w:hint="eastAsia"/>
          <w:highlight w:val="none"/>
        </w:rPr>
      </w:pPr>
      <w:bookmarkStart w:id="74" w:name="_Toc16318"/>
      <w:r>
        <w:rPr>
          <w:rFonts w:hint="eastAsia"/>
          <w:highlight w:val="none"/>
        </w:rPr>
        <w:t>磋商保证金：人民币</w:t>
      </w:r>
      <w:r>
        <w:rPr>
          <w:rFonts w:hint="eastAsia"/>
          <w:highlight w:val="none"/>
          <w:lang w:eastAsia="zh-CN"/>
        </w:rPr>
        <w:t>壹万元整</w:t>
      </w:r>
      <w:r>
        <w:rPr>
          <w:rFonts w:hint="eastAsia"/>
          <w:highlight w:val="none"/>
        </w:rPr>
        <w:t>（￥</w:t>
      </w:r>
      <w:r>
        <w:rPr>
          <w:rFonts w:hint="eastAsia"/>
          <w:highlight w:val="none"/>
          <w:lang w:val="en-US" w:eastAsia="zh-CN"/>
        </w:rPr>
        <w:t>1</w:t>
      </w:r>
      <w:r>
        <w:rPr>
          <w:rFonts w:hint="eastAsia"/>
          <w:highlight w:val="none"/>
        </w:rPr>
        <w:t>000</w:t>
      </w:r>
      <w:r>
        <w:rPr>
          <w:rFonts w:hint="eastAsia"/>
          <w:highlight w:val="none"/>
          <w:lang w:val="en-US" w:eastAsia="zh-CN"/>
        </w:rPr>
        <w:t>0</w:t>
      </w:r>
      <w:r>
        <w:rPr>
          <w:rFonts w:hint="eastAsia"/>
          <w:highlight w:val="none"/>
        </w:rPr>
        <w:t>元）</w:t>
      </w:r>
    </w:p>
    <w:p w14:paraId="5801EC66">
      <w:pPr>
        <w:ind w:firstLine="480"/>
        <w:rPr>
          <w:rFonts w:hint="eastAsia"/>
          <w:highlight w:val="none"/>
        </w:rPr>
      </w:pPr>
      <w:r>
        <w:rPr>
          <w:rFonts w:hint="eastAsia"/>
          <w:highlight w:val="none"/>
        </w:rPr>
        <w:t>供应商在转账时，应在付款凭证备注栏中注明“</w:t>
      </w:r>
      <w:r>
        <w:rPr>
          <w:rFonts w:hint="eastAsia"/>
          <w:highlight w:val="none"/>
          <w:lang w:eastAsia="zh-CN"/>
        </w:rPr>
        <w:t>江西萍乡建工集团有限公司财务系统项目</w:t>
      </w:r>
      <w:r>
        <w:rPr>
          <w:rFonts w:hint="eastAsia"/>
          <w:highlight w:val="none"/>
        </w:rPr>
        <w:t>磋商保证金”字样（如字数太多写不下，可简写）。</w:t>
      </w:r>
    </w:p>
    <w:p w14:paraId="11CCDBDC">
      <w:pPr>
        <w:ind w:firstLine="480"/>
        <w:rPr>
          <w:rFonts w:hint="eastAsia"/>
          <w:highlight w:val="none"/>
        </w:rPr>
      </w:pPr>
      <w:r>
        <w:rPr>
          <w:rFonts w:hint="eastAsia"/>
          <w:highlight w:val="none"/>
        </w:rPr>
        <w:t>到帐时间：响应文件递交截止时间前。</w:t>
      </w:r>
    </w:p>
    <w:p w14:paraId="45F6E8C8">
      <w:pPr>
        <w:ind w:firstLine="480"/>
        <w:rPr>
          <w:rFonts w:hint="eastAsia"/>
          <w:highlight w:val="none"/>
        </w:rPr>
      </w:pPr>
      <w:r>
        <w:rPr>
          <w:rFonts w:hint="eastAsia"/>
          <w:highlight w:val="none"/>
        </w:rPr>
        <w:t>保证金形式：银行转帐</w:t>
      </w:r>
    </w:p>
    <w:p w14:paraId="5162323C">
      <w:pPr>
        <w:ind w:firstLine="480"/>
        <w:rPr>
          <w:rFonts w:hint="eastAsia"/>
          <w:highlight w:val="none"/>
        </w:rPr>
      </w:pPr>
      <w:r>
        <w:rPr>
          <w:rFonts w:hint="eastAsia"/>
          <w:highlight w:val="none"/>
        </w:rPr>
        <w:t>开 户 人：江西萍乡建工集团有限公司</w:t>
      </w:r>
    </w:p>
    <w:p w14:paraId="4949FF6A">
      <w:pPr>
        <w:ind w:firstLine="480"/>
        <w:rPr>
          <w:rFonts w:hint="eastAsia"/>
          <w:highlight w:val="none"/>
        </w:rPr>
      </w:pPr>
      <w:r>
        <w:rPr>
          <w:rFonts w:hint="eastAsia"/>
          <w:highlight w:val="none"/>
        </w:rPr>
        <w:t>开 户 行：中国工商银行股份有限公司萍乡分行营业部</w:t>
      </w:r>
    </w:p>
    <w:p w14:paraId="1C7A80A6">
      <w:pPr>
        <w:keepNext/>
        <w:keepLines/>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outlineLvl w:val="9"/>
        <w:rPr>
          <w:rFonts w:hint="eastAsia"/>
          <w:b w:val="0"/>
          <w:bCs w:val="0"/>
          <w:highlight w:val="none"/>
        </w:rPr>
      </w:pPr>
      <w:r>
        <w:rPr>
          <w:rFonts w:hint="eastAsia"/>
          <w:b w:val="0"/>
          <w:bCs w:val="0"/>
          <w:highlight w:val="none"/>
        </w:rPr>
        <w:t>账    号：</w:t>
      </w:r>
      <w:bookmarkStart w:id="75" w:name="_Toc14981"/>
      <w:r>
        <w:rPr>
          <w:rFonts w:hint="eastAsia"/>
          <w:b w:val="0"/>
          <w:bCs w:val="0"/>
          <w:highlight w:val="none"/>
        </w:rPr>
        <w:t>1504 2009 0910 0026 701</w:t>
      </w:r>
    </w:p>
    <w:p w14:paraId="76254805">
      <w:pPr>
        <w:pStyle w:val="3"/>
        <w:numPr>
          <w:ilvl w:val="0"/>
          <w:numId w:val="0"/>
        </w:numPr>
        <w:ind w:left="0" w:leftChars="0" w:firstLine="480" w:firstLineChars="200"/>
        <w:rPr>
          <w:highlight w:val="none"/>
        </w:rPr>
      </w:pPr>
      <w:bookmarkStart w:id="76" w:name="_Toc18801"/>
      <w:bookmarkStart w:id="77" w:name="_Toc20890"/>
      <w:bookmarkStart w:id="78" w:name="_Toc993"/>
      <w:bookmarkStart w:id="79" w:name="_Toc3734"/>
      <w:bookmarkStart w:id="80" w:name="_Toc14189"/>
      <w:bookmarkStart w:id="81" w:name="_Toc546"/>
      <w:bookmarkStart w:id="82" w:name="_Toc30431"/>
      <w:bookmarkStart w:id="83" w:name="_Toc21294"/>
      <w:r>
        <w:rPr>
          <w:rFonts w:hint="eastAsia"/>
          <w:highlight w:val="none"/>
        </w:rPr>
        <w:t>八、</w:t>
      </w:r>
      <w:bookmarkStart w:id="84" w:name="_Hlk511225268"/>
      <w:r>
        <w:rPr>
          <w:rFonts w:hint="eastAsia"/>
          <w:highlight w:val="none"/>
        </w:rPr>
        <w:t>响应文件递交</w:t>
      </w:r>
      <w:bookmarkEnd w:id="74"/>
      <w:bookmarkEnd w:id="75"/>
      <w:bookmarkEnd w:id="76"/>
      <w:bookmarkEnd w:id="77"/>
      <w:bookmarkEnd w:id="78"/>
      <w:bookmarkEnd w:id="79"/>
      <w:bookmarkEnd w:id="80"/>
      <w:bookmarkEnd w:id="81"/>
      <w:bookmarkEnd w:id="82"/>
      <w:bookmarkEnd w:id="83"/>
      <w:bookmarkEnd w:id="84"/>
    </w:p>
    <w:p w14:paraId="4ECCD545">
      <w:pPr>
        <w:keepNext w:val="0"/>
        <w:keepLines w:val="0"/>
        <w:pageBreakBefore w:val="0"/>
        <w:widowControl w:val="0"/>
        <w:kinsoku/>
        <w:wordWrap w:val="0"/>
        <w:overflowPunct/>
        <w:topLinePunct w:val="0"/>
        <w:autoSpaceDE/>
        <w:autoSpaceDN/>
        <w:bidi w:val="0"/>
        <w:adjustRightInd/>
        <w:snapToGrid/>
        <w:spacing w:line="400" w:lineRule="exact"/>
        <w:ind w:firstLine="480"/>
        <w:textAlignment w:val="auto"/>
        <w:rPr>
          <w:rFonts w:hint="eastAsia" w:cs="仿宋_GB2312"/>
          <w:szCs w:val="24"/>
          <w:highlight w:val="none"/>
        </w:rPr>
      </w:pPr>
      <w:bookmarkStart w:id="85" w:name="_Toc22867"/>
      <w:bookmarkStart w:id="86" w:name="_Toc2161"/>
      <w:r>
        <w:rPr>
          <w:rFonts w:hint="eastAsia" w:cs="仿宋_GB2312"/>
          <w:szCs w:val="24"/>
          <w:highlight w:val="none"/>
        </w:rPr>
        <w:t>1.本项目</w:t>
      </w:r>
      <w:r>
        <w:rPr>
          <w:rFonts w:hint="eastAsia" w:cs="仿宋_GB2312"/>
          <w:szCs w:val="24"/>
          <w:highlight w:val="none"/>
          <w:lang w:eastAsia="zh-CN"/>
        </w:rPr>
        <w:t>响应文件</w:t>
      </w:r>
      <w:r>
        <w:rPr>
          <w:rFonts w:hint="eastAsia" w:cs="仿宋_GB2312"/>
          <w:szCs w:val="24"/>
          <w:highlight w:val="none"/>
        </w:rPr>
        <w:t>递交截止时间（磋商时间）：202</w:t>
      </w:r>
      <w:r>
        <w:rPr>
          <w:rFonts w:hint="eastAsia" w:cs="仿宋_GB2312"/>
          <w:szCs w:val="24"/>
          <w:highlight w:val="none"/>
          <w:lang w:val="en-US" w:eastAsia="zh-CN"/>
        </w:rPr>
        <w:t>6</w:t>
      </w:r>
      <w:r>
        <w:rPr>
          <w:rFonts w:hint="eastAsia" w:cs="仿宋_GB2312"/>
          <w:szCs w:val="24"/>
          <w:highlight w:val="none"/>
        </w:rPr>
        <w:t>年</w:t>
      </w:r>
      <w:r>
        <w:rPr>
          <w:rFonts w:hint="eastAsia" w:cs="仿宋_GB2312"/>
          <w:szCs w:val="24"/>
          <w:highlight w:val="none"/>
          <w:lang w:val="en-US" w:eastAsia="zh-CN"/>
        </w:rPr>
        <w:t>2</w:t>
      </w:r>
      <w:r>
        <w:rPr>
          <w:rFonts w:hint="eastAsia" w:cs="仿宋_GB2312"/>
          <w:szCs w:val="24"/>
          <w:highlight w:val="none"/>
        </w:rPr>
        <w:t>月</w:t>
      </w:r>
      <w:r>
        <w:rPr>
          <w:rFonts w:hint="eastAsia" w:cs="仿宋_GB2312"/>
          <w:szCs w:val="24"/>
          <w:highlight w:val="none"/>
          <w:lang w:val="en-US" w:eastAsia="zh-CN"/>
        </w:rPr>
        <w:t>9</w:t>
      </w:r>
      <w:r>
        <w:rPr>
          <w:rFonts w:hint="eastAsia" w:cs="仿宋_GB2312"/>
          <w:szCs w:val="24"/>
          <w:highlight w:val="none"/>
        </w:rPr>
        <w:t>日</w:t>
      </w:r>
      <w:r>
        <w:rPr>
          <w:rFonts w:hint="eastAsia" w:cs="仿宋_GB2312"/>
          <w:szCs w:val="24"/>
          <w:highlight w:val="none"/>
          <w:lang w:val="en-US" w:eastAsia="zh-CN"/>
        </w:rPr>
        <w:t>14</w:t>
      </w:r>
      <w:r>
        <w:rPr>
          <w:rFonts w:hint="eastAsia" w:cs="仿宋_GB2312"/>
          <w:szCs w:val="24"/>
          <w:highlight w:val="none"/>
        </w:rPr>
        <w:t>时00分（北京时间）。逾期送达、未按照要求密封或不符合招标文件要求的</w:t>
      </w:r>
      <w:r>
        <w:rPr>
          <w:rFonts w:hint="eastAsia" w:cs="仿宋_GB2312"/>
          <w:szCs w:val="24"/>
          <w:highlight w:val="none"/>
          <w:lang w:eastAsia="zh-CN"/>
        </w:rPr>
        <w:t>响应文件</w:t>
      </w:r>
      <w:r>
        <w:rPr>
          <w:rFonts w:hint="eastAsia" w:cs="仿宋_GB2312"/>
          <w:szCs w:val="24"/>
          <w:highlight w:val="none"/>
        </w:rPr>
        <w:t>，将被拒收。</w:t>
      </w:r>
      <w:r>
        <w:rPr>
          <w:rFonts w:hint="eastAsia" w:cs="仿宋_GB2312"/>
          <w:szCs w:val="24"/>
          <w:highlight w:val="none"/>
          <w:lang w:eastAsia="zh-CN"/>
        </w:rPr>
        <w:t>响应文件</w:t>
      </w:r>
      <w:r>
        <w:rPr>
          <w:rFonts w:hint="eastAsia" w:cs="仿宋_GB2312"/>
          <w:szCs w:val="24"/>
          <w:highlight w:val="none"/>
        </w:rPr>
        <w:t>递交人必须为法定代表人或授权委托人，必须提供以下资料：</w:t>
      </w:r>
    </w:p>
    <w:p w14:paraId="677AE666">
      <w:pPr>
        <w:keepNext w:val="0"/>
        <w:keepLines w:val="0"/>
        <w:pageBreakBefore w:val="0"/>
        <w:widowControl w:val="0"/>
        <w:kinsoku/>
        <w:wordWrap w:val="0"/>
        <w:overflowPunct/>
        <w:topLinePunct w:val="0"/>
        <w:autoSpaceDE/>
        <w:autoSpaceDN/>
        <w:bidi w:val="0"/>
        <w:adjustRightInd/>
        <w:snapToGrid/>
        <w:spacing w:line="400" w:lineRule="exact"/>
        <w:ind w:firstLine="480"/>
        <w:textAlignment w:val="auto"/>
        <w:rPr>
          <w:rFonts w:hint="eastAsia" w:cs="仿宋_GB2312"/>
          <w:szCs w:val="24"/>
          <w:highlight w:val="none"/>
        </w:rPr>
      </w:pPr>
      <w:r>
        <w:rPr>
          <w:rFonts w:hint="eastAsia" w:cs="仿宋_GB2312"/>
          <w:szCs w:val="24"/>
          <w:highlight w:val="none"/>
        </w:rPr>
        <w:t>（1）</w:t>
      </w:r>
      <w:r>
        <w:rPr>
          <w:rFonts w:hint="eastAsia" w:cs="仿宋_GB2312"/>
          <w:szCs w:val="24"/>
          <w:highlight w:val="none"/>
          <w:lang w:eastAsia="zh-CN"/>
        </w:rPr>
        <w:t>供应商</w:t>
      </w:r>
      <w:r>
        <w:rPr>
          <w:rFonts w:hint="eastAsia" w:cs="仿宋_GB2312"/>
          <w:szCs w:val="24"/>
          <w:highlight w:val="none"/>
        </w:rPr>
        <w:t>入场为法定代表人的，提供法定代表人身份证原件或有效电子身份证件。</w:t>
      </w:r>
    </w:p>
    <w:p w14:paraId="1AEF171A">
      <w:pPr>
        <w:keepNext w:val="0"/>
        <w:keepLines w:val="0"/>
        <w:pageBreakBefore w:val="0"/>
        <w:widowControl w:val="0"/>
        <w:kinsoku/>
        <w:wordWrap w:val="0"/>
        <w:overflowPunct/>
        <w:topLinePunct w:val="0"/>
        <w:autoSpaceDE/>
        <w:autoSpaceDN/>
        <w:bidi w:val="0"/>
        <w:adjustRightInd/>
        <w:snapToGrid/>
        <w:spacing w:line="400" w:lineRule="exact"/>
        <w:ind w:firstLine="480"/>
        <w:textAlignment w:val="auto"/>
        <w:rPr>
          <w:rFonts w:hint="eastAsia" w:cs="仿宋_GB2312"/>
          <w:szCs w:val="24"/>
          <w:highlight w:val="none"/>
        </w:rPr>
      </w:pPr>
      <w:r>
        <w:rPr>
          <w:rFonts w:hint="eastAsia" w:cs="仿宋_GB2312"/>
          <w:szCs w:val="24"/>
          <w:highlight w:val="none"/>
        </w:rPr>
        <w:t>（2）</w:t>
      </w:r>
      <w:r>
        <w:rPr>
          <w:rFonts w:hint="eastAsia" w:cs="仿宋_GB2312"/>
          <w:szCs w:val="24"/>
          <w:highlight w:val="none"/>
          <w:lang w:eastAsia="zh-CN"/>
        </w:rPr>
        <w:t>供应商</w:t>
      </w:r>
      <w:r>
        <w:rPr>
          <w:rFonts w:hint="eastAsia" w:cs="仿宋_GB2312"/>
          <w:szCs w:val="24"/>
          <w:highlight w:val="none"/>
        </w:rPr>
        <w:t>入场为授权委托人的，提供授权委托书原件、授权委托人的身份证原件或有效电子身份证件。</w:t>
      </w:r>
    </w:p>
    <w:p w14:paraId="6E07C573">
      <w:pPr>
        <w:keepNext w:val="0"/>
        <w:keepLines w:val="0"/>
        <w:pageBreakBefore w:val="0"/>
        <w:widowControl w:val="0"/>
        <w:kinsoku/>
        <w:wordWrap w:val="0"/>
        <w:overflowPunct/>
        <w:topLinePunct w:val="0"/>
        <w:autoSpaceDE/>
        <w:autoSpaceDN/>
        <w:bidi w:val="0"/>
        <w:adjustRightInd/>
        <w:snapToGrid/>
        <w:spacing w:line="400" w:lineRule="exact"/>
        <w:ind w:firstLine="480"/>
        <w:textAlignment w:val="auto"/>
        <w:rPr>
          <w:rFonts w:hint="eastAsia" w:eastAsia="仿宋_GB2312" w:cs="仿宋_GB2312"/>
          <w:szCs w:val="24"/>
          <w:highlight w:val="none"/>
          <w:u w:val="single"/>
          <w:lang w:eastAsia="zh-CN"/>
        </w:rPr>
      </w:pPr>
      <w:r>
        <w:rPr>
          <w:rFonts w:hint="eastAsia" w:cs="仿宋_GB2312"/>
          <w:szCs w:val="24"/>
          <w:highlight w:val="none"/>
          <w:lang w:val="en-US" w:eastAsia="zh-CN"/>
        </w:rPr>
        <w:t>2</w:t>
      </w:r>
      <w:r>
        <w:rPr>
          <w:rFonts w:hint="eastAsia" w:cs="仿宋_GB2312"/>
          <w:szCs w:val="24"/>
          <w:highlight w:val="none"/>
        </w:rPr>
        <w:t>.本项目</w:t>
      </w:r>
      <w:r>
        <w:rPr>
          <w:rFonts w:hint="eastAsia" w:cs="仿宋_GB2312"/>
          <w:szCs w:val="24"/>
          <w:highlight w:val="none"/>
          <w:lang w:eastAsia="zh-CN"/>
        </w:rPr>
        <w:t>响应文件</w:t>
      </w:r>
      <w:r>
        <w:rPr>
          <w:rFonts w:hint="eastAsia" w:cs="仿宋_GB2312"/>
          <w:szCs w:val="24"/>
          <w:highlight w:val="none"/>
        </w:rPr>
        <w:t>递交地点（开标地点）：</w:t>
      </w:r>
      <w:r>
        <w:rPr>
          <w:rFonts w:hint="eastAsia" w:cs="仿宋_GB2312"/>
          <w:szCs w:val="24"/>
          <w:highlight w:val="none"/>
          <w:u w:val="single"/>
        </w:rPr>
        <w:t>萍乡市经济技术开发区吴楚东大道10号萍乡建工集团七楼</w:t>
      </w:r>
      <w:r>
        <w:rPr>
          <w:rFonts w:hint="eastAsia" w:cs="仿宋_GB2312"/>
          <w:szCs w:val="24"/>
          <w:highlight w:val="none"/>
          <w:u w:val="single"/>
          <w:lang w:eastAsia="zh-CN"/>
        </w:rPr>
        <w:t>。</w:t>
      </w:r>
    </w:p>
    <w:p w14:paraId="29189CD4">
      <w:pPr>
        <w:keepNext w:val="0"/>
        <w:keepLines w:val="0"/>
        <w:pageBreakBefore w:val="0"/>
        <w:widowControl w:val="0"/>
        <w:kinsoku/>
        <w:wordWrap w:val="0"/>
        <w:overflowPunct/>
        <w:topLinePunct w:val="0"/>
        <w:autoSpaceDE/>
        <w:autoSpaceDN/>
        <w:bidi w:val="0"/>
        <w:adjustRightInd/>
        <w:snapToGrid/>
        <w:spacing w:line="400" w:lineRule="exact"/>
        <w:ind w:firstLine="480"/>
        <w:textAlignment w:val="auto"/>
        <w:rPr>
          <w:rFonts w:hint="eastAsia" w:cs="仿宋_GB2312"/>
          <w:szCs w:val="24"/>
          <w:highlight w:val="none"/>
        </w:rPr>
      </w:pPr>
      <w:r>
        <w:rPr>
          <w:rFonts w:hint="eastAsia" w:cs="仿宋_GB2312"/>
          <w:szCs w:val="24"/>
          <w:highlight w:val="none"/>
          <w:lang w:val="en-US" w:eastAsia="zh-CN"/>
        </w:rPr>
        <w:t>3</w:t>
      </w:r>
      <w:r>
        <w:rPr>
          <w:rFonts w:hint="eastAsia" w:cs="仿宋_GB2312"/>
          <w:szCs w:val="24"/>
          <w:highlight w:val="none"/>
        </w:rPr>
        <w:t>.接收人：</w:t>
      </w:r>
      <w:r>
        <w:rPr>
          <w:rFonts w:hint="eastAsia"/>
          <w:color w:val="auto"/>
          <w:highlight w:val="none"/>
          <w:u w:val="single"/>
          <w:lang w:val="en-US" w:eastAsia="zh-CN"/>
        </w:rPr>
        <w:t>江西萍乡建工集团有限公司</w:t>
      </w:r>
    </w:p>
    <w:p w14:paraId="4CF68208">
      <w:pPr>
        <w:pStyle w:val="3"/>
        <w:pageBreakBefore w:val="0"/>
        <w:numPr>
          <w:ilvl w:val="0"/>
          <w:numId w:val="0"/>
        </w:numPr>
        <w:kinsoku/>
        <w:overflowPunct/>
        <w:topLinePunct w:val="0"/>
        <w:autoSpaceDE/>
        <w:autoSpaceDN/>
        <w:bidi w:val="0"/>
        <w:adjustRightInd/>
        <w:snapToGrid/>
        <w:spacing w:line="400" w:lineRule="exact"/>
        <w:ind w:left="0" w:leftChars="0" w:firstLine="480" w:firstLineChars="200"/>
        <w:rPr>
          <w:rFonts w:hint="eastAsia" w:cs="Times New Roman"/>
          <w:b/>
          <w:bCs/>
          <w:color w:val="auto"/>
          <w:sz w:val="24"/>
          <w:szCs w:val="32"/>
          <w:highlight w:val="none"/>
          <w:lang w:val="en-US" w:eastAsia="zh-CN" w:bidi="ar-SA"/>
        </w:rPr>
      </w:pPr>
      <w:bookmarkStart w:id="87" w:name="_Toc8046"/>
      <w:bookmarkStart w:id="88" w:name="_Toc31839"/>
      <w:bookmarkStart w:id="89" w:name="_Toc2586"/>
      <w:bookmarkStart w:id="90" w:name="_Toc1205"/>
      <w:bookmarkStart w:id="91" w:name="_Toc24517"/>
      <w:bookmarkStart w:id="92" w:name="_Toc21812"/>
      <w:bookmarkStart w:id="93" w:name="_Toc8673"/>
      <w:bookmarkStart w:id="94" w:name="_Toc24117"/>
      <w:bookmarkStart w:id="95" w:name="_Toc31429"/>
      <w:r>
        <w:rPr>
          <w:rFonts w:hint="eastAsia" w:cs="Times New Roman"/>
          <w:b/>
          <w:bCs/>
          <w:color w:val="auto"/>
          <w:sz w:val="24"/>
          <w:szCs w:val="32"/>
          <w:highlight w:val="none"/>
          <w:lang w:val="en-US" w:eastAsia="zh-CN" w:bidi="ar-SA"/>
        </w:rPr>
        <w:t>九、发布媒介</w:t>
      </w:r>
      <w:bookmarkEnd w:id="87"/>
      <w:bookmarkEnd w:id="88"/>
      <w:bookmarkEnd w:id="89"/>
      <w:bookmarkEnd w:id="90"/>
      <w:bookmarkEnd w:id="91"/>
      <w:bookmarkEnd w:id="92"/>
      <w:bookmarkEnd w:id="93"/>
      <w:bookmarkEnd w:id="94"/>
      <w:bookmarkEnd w:id="95"/>
    </w:p>
    <w:p w14:paraId="5A4B800C">
      <w:pPr>
        <w:keepNext w:val="0"/>
        <w:keepLines w:val="0"/>
        <w:pageBreakBefore w:val="0"/>
        <w:widowControl w:val="0"/>
        <w:kinsoku/>
        <w:wordWrap w:val="0"/>
        <w:overflowPunct/>
        <w:topLinePunct w:val="0"/>
        <w:autoSpaceDE/>
        <w:autoSpaceDN/>
        <w:bidi w:val="0"/>
        <w:adjustRightInd/>
        <w:snapToGrid/>
        <w:spacing w:line="400" w:lineRule="exact"/>
        <w:textAlignment w:val="auto"/>
      </w:pPr>
      <w:r>
        <w:rPr>
          <w:rFonts w:hint="eastAsia"/>
          <w:lang w:val="en-US" w:eastAsia="zh-CN"/>
        </w:rPr>
        <w:t>本次磋商公告同时在中国招标投标公共服务平台（网址：http://www.cebpubservice.com/）、</w:t>
      </w:r>
      <w:r>
        <w:rPr>
          <w:rFonts w:hint="eastAsia"/>
          <w:color w:val="auto"/>
          <w:highlight w:val="none"/>
          <w:lang w:val="en-US" w:eastAsia="zh-CN"/>
        </w:rPr>
        <w:t>萍乡市国有企业采购平台（网址： https://pxsgqcg.jczh.com/ ）、</w:t>
      </w:r>
      <w:r>
        <w:rPr>
          <w:rFonts w:hint="eastAsia"/>
          <w:lang w:val="en-US" w:eastAsia="zh-CN"/>
        </w:rPr>
        <w:t>萍乡建工集团智慧采购平台（网址：http://ztb.pxjgceg.jczh.com/）、江西萍乡建工集团有限公司电子招标平台（网址：https://ztb.jxzhhm.com/）上发布。</w:t>
      </w:r>
    </w:p>
    <w:p w14:paraId="53E4B211">
      <w:pPr>
        <w:pStyle w:val="3"/>
        <w:pageBreakBefore w:val="0"/>
        <w:numPr>
          <w:ilvl w:val="0"/>
          <w:numId w:val="0"/>
        </w:numPr>
        <w:kinsoku/>
        <w:overflowPunct/>
        <w:topLinePunct w:val="0"/>
        <w:autoSpaceDE/>
        <w:autoSpaceDN/>
        <w:bidi w:val="0"/>
        <w:adjustRightInd/>
        <w:snapToGrid/>
        <w:spacing w:line="400" w:lineRule="exact"/>
        <w:ind w:left="0" w:leftChars="0" w:firstLine="480" w:firstLineChars="200"/>
        <w:rPr>
          <w:highlight w:val="none"/>
        </w:rPr>
      </w:pPr>
      <w:bookmarkStart w:id="96" w:name="_Toc21896"/>
      <w:bookmarkStart w:id="97" w:name="_Toc11225"/>
      <w:bookmarkStart w:id="98" w:name="_Toc30725"/>
      <w:bookmarkStart w:id="99" w:name="_Toc29514"/>
      <w:bookmarkStart w:id="100" w:name="_Toc5008"/>
      <w:bookmarkStart w:id="101" w:name="_Toc29472"/>
      <w:bookmarkStart w:id="102" w:name="_Toc18964"/>
      <w:bookmarkStart w:id="103" w:name="_Toc11653"/>
      <w:r>
        <w:rPr>
          <w:rFonts w:hint="eastAsia"/>
          <w:highlight w:val="none"/>
          <w:lang w:val="en-US" w:eastAsia="zh-CN"/>
        </w:rPr>
        <w:t>十</w:t>
      </w:r>
      <w:r>
        <w:rPr>
          <w:rFonts w:hint="eastAsia"/>
          <w:highlight w:val="none"/>
        </w:rPr>
        <w:t>、</w:t>
      </w:r>
      <w:bookmarkStart w:id="104" w:name="_Hlk511225424"/>
      <w:r>
        <w:rPr>
          <w:rFonts w:hint="eastAsia"/>
          <w:highlight w:val="none"/>
        </w:rPr>
        <w:t>联系方式</w:t>
      </w:r>
      <w:bookmarkEnd w:id="85"/>
      <w:bookmarkEnd w:id="86"/>
      <w:bookmarkEnd w:id="96"/>
      <w:bookmarkEnd w:id="97"/>
      <w:bookmarkEnd w:id="98"/>
      <w:bookmarkEnd w:id="99"/>
      <w:bookmarkEnd w:id="100"/>
      <w:bookmarkEnd w:id="101"/>
      <w:bookmarkEnd w:id="102"/>
      <w:bookmarkEnd w:id="103"/>
    </w:p>
    <w:p w14:paraId="13854ED8">
      <w:pPr>
        <w:spacing w:line="400" w:lineRule="exact"/>
        <w:ind w:firstLine="480" w:firstLineChars="200"/>
        <w:jc w:val="left"/>
        <w:rPr>
          <w:rFonts w:hint="default" w:ascii="仿宋" w:hAnsi="仿宋" w:eastAsia="仿宋" w:cs="仿宋"/>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采购人</w:t>
      </w:r>
      <w:r>
        <w:rPr>
          <w:rFonts w:hint="eastAsia" w:ascii="仿宋" w:hAnsi="仿宋" w:eastAsia="仿宋" w:cs="仿宋"/>
          <w:color w:val="auto"/>
          <w:sz w:val="24"/>
          <w:szCs w:val="24"/>
          <w:highlight w:val="none"/>
          <w:lang w:val="en-US" w:eastAsia="zh-CN"/>
        </w:rPr>
        <w:t>：</w:t>
      </w:r>
      <w:r>
        <w:rPr>
          <w:rFonts w:hint="eastAsia"/>
          <w:color w:val="auto"/>
          <w:highlight w:val="none"/>
          <w:u w:val="single"/>
          <w:lang w:val="en-US" w:eastAsia="zh-CN"/>
        </w:rPr>
        <w:t>江西萍乡建工集团有限公司</w:t>
      </w:r>
    </w:p>
    <w:p w14:paraId="3D206891">
      <w:pPr>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地址</w:t>
      </w:r>
      <w:r>
        <w:rPr>
          <w:rFonts w:hint="eastAsia" w:ascii="仿宋" w:hAnsi="仿宋" w:eastAsia="仿宋" w:cs="仿宋"/>
          <w:color w:val="auto"/>
          <w:sz w:val="24"/>
          <w:szCs w:val="24"/>
          <w:highlight w:val="none"/>
          <w:lang w:val="en-US" w:eastAsia="zh-CN"/>
        </w:rPr>
        <w:t>：</w:t>
      </w:r>
      <w:r>
        <w:rPr>
          <w:rFonts w:hint="eastAsia" w:cs="仿宋_GB2312"/>
          <w:szCs w:val="24"/>
          <w:highlight w:val="none"/>
          <w:u w:val="single"/>
        </w:rPr>
        <w:t>萍乡市经济技术开发区吴楚东大道10号萍乡建工集团</w:t>
      </w:r>
      <w:r>
        <w:rPr>
          <w:rFonts w:hint="eastAsia" w:cs="Times New Roman"/>
          <w:color w:val="auto"/>
          <w:highlight w:val="none"/>
          <w:u w:val="single"/>
          <w:lang w:val="en-US" w:eastAsia="zh-CN"/>
        </w:rPr>
        <w:t xml:space="preserve"> </w:t>
      </w:r>
    </w:p>
    <w:p w14:paraId="4E29D61E">
      <w:pPr>
        <w:pageBreakBefore w:val="0"/>
        <w:kinsoku/>
        <w:overflowPunct/>
        <w:topLinePunct w:val="0"/>
        <w:autoSpaceDE/>
        <w:autoSpaceDN/>
        <w:bidi w:val="0"/>
        <w:adjustRightInd/>
        <w:snapToGrid/>
        <w:spacing w:line="400" w:lineRule="exact"/>
        <w:ind w:firstLine="480"/>
        <w:rPr>
          <w:rFonts w:hint="default" w:hAnsi="宋体"/>
          <w:szCs w:val="21"/>
          <w:highlight w:val="none"/>
          <w:u w:val="single"/>
          <w:lang w:val="en-US"/>
        </w:rPr>
      </w:pPr>
      <w:r>
        <w:rPr>
          <w:rFonts w:hint="eastAsia" w:ascii="仿宋" w:hAnsi="仿宋" w:cs="仿宋"/>
          <w:color w:val="auto"/>
          <w:sz w:val="24"/>
          <w:szCs w:val="24"/>
          <w:highlight w:val="none"/>
          <w:lang w:val="en-US" w:eastAsia="zh-CN"/>
        </w:rPr>
        <w:t>采购经办人</w:t>
      </w:r>
      <w:r>
        <w:rPr>
          <w:rFonts w:hint="eastAsia" w:ascii="仿宋" w:hAnsi="仿宋" w:eastAsia="仿宋" w:cs="仿宋"/>
          <w:color w:val="auto"/>
          <w:sz w:val="24"/>
          <w:szCs w:val="24"/>
          <w:highlight w:val="none"/>
          <w:lang w:val="en-US" w:eastAsia="zh-CN"/>
        </w:rPr>
        <w:t>：</w:t>
      </w:r>
      <w:r>
        <w:rPr>
          <w:rFonts w:hint="eastAsia" w:cs="Times New Roman"/>
          <w:color w:val="auto"/>
          <w:highlight w:val="none"/>
          <w:u w:val="single"/>
          <w:lang w:val="en-US" w:eastAsia="zh-CN"/>
        </w:rPr>
        <w:t xml:space="preserve">周先生 </w:t>
      </w:r>
      <w:r>
        <w:rPr>
          <w:rFonts w:hint="eastAsia" w:ascii="仿宋" w:hAnsi="仿宋" w:eastAsia="仿宋" w:cs="仿宋"/>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val="en-US" w:eastAsia="zh-CN"/>
        </w:rPr>
        <w:t>电话：</w:t>
      </w:r>
      <w:r>
        <w:rPr>
          <w:rFonts w:hint="eastAsia" w:cs="Times New Roman"/>
          <w:color w:val="auto"/>
          <w:highlight w:val="none"/>
          <w:u w:val="single"/>
          <w:lang w:val="en-US" w:eastAsia="zh-CN"/>
        </w:rPr>
        <w:t>0799-6667600</w:t>
      </w:r>
    </w:p>
    <w:bookmarkEnd w:id="104"/>
    <w:p w14:paraId="3D85C353">
      <w:pPr>
        <w:pStyle w:val="3"/>
        <w:pageBreakBefore w:val="0"/>
        <w:numPr>
          <w:ilvl w:val="0"/>
          <w:numId w:val="0"/>
        </w:numPr>
        <w:kinsoku/>
        <w:overflowPunct/>
        <w:topLinePunct w:val="0"/>
        <w:autoSpaceDE/>
        <w:autoSpaceDN/>
        <w:bidi w:val="0"/>
        <w:adjustRightInd/>
        <w:snapToGrid/>
        <w:spacing w:line="400" w:lineRule="exact"/>
        <w:ind w:left="0" w:leftChars="0" w:firstLine="480" w:firstLineChars="200"/>
        <w:rPr>
          <w:rFonts w:hint="eastAsia"/>
          <w:highlight w:val="none"/>
        </w:rPr>
      </w:pPr>
      <w:bookmarkStart w:id="105" w:name="_Toc9855"/>
      <w:bookmarkStart w:id="106" w:name="_Toc5732"/>
      <w:bookmarkStart w:id="107" w:name="_Toc22074"/>
      <w:bookmarkStart w:id="108" w:name="_Toc1168"/>
      <w:bookmarkStart w:id="109" w:name="_Toc21481"/>
      <w:bookmarkStart w:id="110" w:name="_Toc24019"/>
      <w:bookmarkStart w:id="111" w:name="_Toc17316"/>
      <w:bookmarkStart w:id="112" w:name="_Toc16154"/>
      <w:bookmarkStart w:id="113" w:name="_Toc21124"/>
      <w:bookmarkStart w:id="114" w:name="_Toc6080"/>
      <w:r>
        <w:rPr>
          <w:rFonts w:hint="eastAsia"/>
          <w:highlight w:val="none"/>
        </w:rPr>
        <w:t>十</w:t>
      </w:r>
      <w:r>
        <w:rPr>
          <w:rFonts w:hint="eastAsia"/>
          <w:highlight w:val="none"/>
          <w:lang w:val="en-US" w:eastAsia="zh-CN"/>
        </w:rPr>
        <w:t>一</w:t>
      </w:r>
      <w:r>
        <w:rPr>
          <w:rFonts w:hint="eastAsia"/>
          <w:highlight w:val="none"/>
        </w:rPr>
        <w:t>、采购监督机构</w:t>
      </w:r>
      <w:bookmarkEnd w:id="105"/>
      <w:bookmarkEnd w:id="106"/>
      <w:bookmarkEnd w:id="107"/>
      <w:bookmarkEnd w:id="108"/>
      <w:bookmarkEnd w:id="109"/>
      <w:bookmarkEnd w:id="110"/>
      <w:bookmarkEnd w:id="111"/>
      <w:bookmarkEnd w:id="112"/>
      <w:bookmarkEnd w:id="113"/>
      <w:bookmarkEnd w:id="114"/>
    </w:p>
    <w:p w14:paraId="25C49679">
      <w:pPr>
        <w:pageBreakBefore w:val="0"/>
        <w:widowControl w:val="0"/>
        <w:kinsoku/>
        <w:wordWrap/>
        <w:overflowPunct/>
        <w:topLinePunct w:val="0"/>
        <w:autoSpaceDE/>
        <w:autoSpaceDN/>
        <w:bidi w:val="0"/>
        <w:adjustRightInd/>
        <w:snapToGrid/>
        <w:spacing w:line="400" w:lineRule="exact"/>
        <w:ind w:firstLine="640"/>
        <w:textAlignment w:val="auto"/>
        <w:rPr>
          <w:color w:val="auto"/>
          <w:highlight w:val="none"/>
          <w:shd w:val="clear" w:color="auto" w:fill="FFFFFF"/>
        </w:rPr>
      </w:pPr>
      <w:r>
        <w:rPr>
          <w:rFonts w:hint="eastAsia"/>
          <w:color w:val="auto"/>
          <w:highlight w:val="none"/>
          <w:shd w:val="clear" w:color="auto" w:fill="FFFFFF"/>
          <w:lang w:val="en-US" w:eastAsia="zh-CN"/>
        </w:rPr>
        <w:t>2</w:t>
      </w:r>
      <w:r>
        <w:rPr>
          <w:rFonts w:hint="eastAsia"/>
          <w:color w:val="auto"/>
          <w:highlight w:val="none"/>
          <w:shd w:val="clear" w:color="auto" w:fill="FFFFFF"/>
        </w:rPr>
        <w:t>.江西</w:t>
      </w:r>
      <w:r>
        <w:rPr>
          <w:rFonts w:hint="eastAsia"/>
          <w:color w:val="auto"/>
          <w:highlight w:val="none"/>
          <w:shd w:val="clear" w:color="auto" w:fill="FFFFFF"/>
          <w:lang w:val="en-US" w:eastAsia="zh-CN"/>
        </w:rPr>
        <w:t>萍乡建工</w:t>
      </w:r>
      <w:r>
        <w:rPr>
          <w:rFonts w:hint="eastAsia"/>
          <w:color w:val="auto"/>
          <w:highlight w:val="none"/>
          <w:shd w:val="clear" w:color="auto" w:fill="FFFFFF"/>
        </w:rPr>
        <w:t>集团纪检</w:t>
      </w:r>
      <w:r>
        <w:rPr>
          <w:rFonts w:hint="eastAsia"/>
          <w:color w:val="auto"/>
          <w:highlight w:val="none"/>
          <w:shd w:val="clear" w:color="auto" w:fill="FFFFFF"/>
          <w:lang w:val="en-US" w:eastAsia="zh-CN"/>
        </w:rPr>
        <w:t>监察</w:t>
      </w:r>
      <w:r>
        <w:rPr>
          <w:rFonts w:hint="eastAsia"/>
          <w:color w:val="auto"/>
          <w:highlight w:val="none"/>
          <w:shd w:val="clear" w:color="auto" w:fill="FFFFFF"/>
        </w:rPr>
        <w:t>室</w:t>
      </w:r>
    </w:p>
    <w:p w14:paraId="22803498">
      <w:pPr>
        <w:pageBreakBefore w:val="0"/>
        <w:widowControl w:val="0"/>
        <w:kinsoku/>
        <w:wordWrap/>
        <w:overflowPunct/>
        <w:topLinePunct w:val="0"/>
        <w:autoSpaceDE/>
        <w:autoSpaceDN/>
        <w:bidi w:val="0"/>
        <w:adjustRightInd/>
        <w:snapToGrid/>
        <w:spacing w:line="400" w:lineRule="exact"/>
        <w:ind w:firstLine="640"/>
        <w:textAlignment w:val="auto"/>
        <w:rPr>
          <w:color w:val="auto"/>
          <w:highlight w:val="none"/>
          <w:shd w:val="clear" w:color="auto" w:fill="FFFFFF"/>
        </w:rPr>
      </w:pPr>
      <w:r>
        <w:rPr>
          <w:rFonts w:hint="eastAsia"/>
          <w:color w:val="auto"/>
          <w:highlight w:val="none"/>
          <w:shd w:val="clear" w:color="auto" w:fill="FFFFFF"/>
        </w:rPr>
        <w:t>联系人：</w:t>
      </w:r>
      <w:r>
        <w:rPr>
          <w:rFonts w:hint="eastAsia"/>
          <w:color w:val="auto"/>
          <w:highlight w:val="none"/>
          <w:u w:val="single"/>
          <w:shd w:val="clear" w:color="auto" w:fill="FFFFFF"/>
        </w:rPr>
        <w:t>胡女士</w:t>
      </w:r>
    </w:p>
    <w:p w14:paraId="7DC22336">
      <w:pPr>
        <w:pageBreakBefore w:val="0"/>
        <w:widowControl w:val="0"/>
        <w:kinsoku/>
        <w:wordWrap/>
        <w:overflowPunct/>
        <w:topLinePunct w:val="0"/>
        <w:autoSpaceDE/>
        <w:autoSpaceDN/>
        <w:bidi w:val="0"/>
        <w:adjustRightInd/>
        <w:snapToGrid/>
        <w:spacing w:line="400" w:lineRule="exact"/>
        <w:ind w:firstLine="640"/>
        <w:textAlignment w:val="auto"/>
        <w:rPr>
          <w:rFonts w:hint="eastAsia" w:cs="Times New Roman"/>
          <w:color w:val="auto"/>
          <w:highlight w:val="none"/>
          <w:shd w:val="clear" w:color="auto" w:fill="FFFFFF"/>
        </w:rPr>
      </w:pPr>
      <w:r>
        <w:rPr>
          <w:rFonts w:hint="eastAsia" w:cs="Times New Roman"/>
          <w:color w:val="auto"/>
          <w:highlight w:val="none"/>
          <w:shd w:val="clear" w:color="auto" w:fill="FFFFFF"/>
        </w:rPr>
        <w:t>联系电话：</w:t>
      </w:r>
      <w:r>
        <w:rPr>
          <w:rFonts w:hint="eastAsia" w:cs="Times New Roman"/>
          <w:color w:val="auto"/>
          <w:highlight w:val="none"/>
          <w:u w:val="single"/>
          <w:shd w:val="clear" w:color="auto" w:fill="FFFFFF"/>
        </w:rPr>
        <w:t>0799-666</w:t>
      </w:r>
      <w:r>
        <w:rPr>
          <w:rFonts w:hint="eastAsia" w:cs="Times New Roman"/>
          <w:color w:val="auto"/>
          <w:highlight w:val="none"/>
          <w:u w:val="single"/>
          <w:shd w:val="clear" w:color="auto" w:fill="FFFFFF"/>
          <w:lang w:val="en-US" w:eastAsia="zh-CN"/>
        </w:rPr>
        <w:t>3323</w:t>
      </w:r>
    </w:p>
    <w:p w14:paraId="68678D4E">
      <w:pPr>
        <w:pStyle w:val="2"/>
        <w:bidi w:val="0"/>
        <w:rPr>
          <w:rFonts w:ascii="仿宋" w:hAnsi="仿宋" w:eastAsia="仿宋" w:cs="仿宋"/>
          <w:color w:val="auto"/>
          <w:highlight w:val="none"/>
        </w:rPr>
      </w:pPr>
      <w:r>
        <w:rPr>
          <w:rFonts w:hint="eastAsia" w:ascii="仿宋" w:hAnsi="仿宋" w:eastAsia="仿宋" w:cs="仿宋"/>
          <w:b/>
          <w:bCs/>
          <w:color w:val="auto"/>
          <w:sz w:val="32"/>
          <w:highlight w:val="none"/>
        </w:rPr>
        <w:br w:type="page"/>
      </w:r>
      <w:bookmarkStart w:id="115" w:name="_Toc5300"/>
      <w:bookmarkStart w:id="116" w:name="_Toc31320"/>
      <w:bookmarkStart w:id="117" w:name="_Toc14280"/>
      <w:bookmarkStart w:id="118" w:name="_Toc13965"/>
      <w:bookmarkStart w:id="119" w:name="_Toc15307"/>
      <w:bookmarkStart w:id="120" w:name="_Toc32762"/>
      <w:bookmarkStart w:id="121" w:name="_Toc18751"/>
      <w:bookmarkStart w:id="122" w:name="_Toc9973"/>
      <w:bookmarkStart w:id="123" w:name="_Toc20611"/>
      <w:r>
        <w:rPr>
          <w:rFonts w:hint="eastAsia"/>
          <w:highlight w:val="none"/>
          <w:lang w:val="en-US" w:eastAsia="zh-CN"/>
        </w:rPr>
        <w:t>第二章 供应商须知</w:t>
      </w:r>
      <w:bookmarkEnd w:id="115"/>
      <w:bookmarkEnd w:id="116"/>
      <w:bookmarkEnd w:id="117"/>
      <w:bookmarkEnd w:id="118"/>
      <w:bookmarkEnd w:id="119"/>
      <w:bookmarkEnd w:id="120"/>
      <w:bookmarkEnd w:id="121"/>
      <w:bookmarkEnd w:id="122"/>
      <w:bookmarkEnd w:id="123"/>
    </w:p>
    <w:p w14:paraId="5FFC3091">
      <w:pPr>
        <w:pStyle w:val="3"/>
        <w:numPr>
          <w:ilvl w:val="0"/>
          <w:numId w:val="0"/>
        </w:numPr>
        <w:bidi w:val="0"/>
        <w:ind w:left="156" w:leftChars="0" w:firstLine="480" w:firstLineChars="200"/>
        <w:rPr>
          <w:highlight w:val="none"/>
        </w:rPr>
      </w:pPr>
      <w:bookmarkStart w:id="124" w:name="_Toc221335709"/>
      <w:bookmarkStart w:id="125" w:name="_Toc27463"/>
      <w:bookmarkStart w:id="126" w:name="_Toc24488"/>
      <w:bookmarkStart w:id="127" w:name="_Toc23252"/>
      <w:bookmarkStart w:id="128" w:name="_Toc3538"/>
      <w:bookmarkStart w:id="129" w:name="_Toc505020152"/>
      <w:bookmarkStart w:id="130" w:name="_Toc220257383"/>
      <w:bookmarkStart w:id="131" w:name="_Toc8472"/>
      <w:bookmarkStart w:id="132" w:name="_Toc1167"/>
      <w:bookmarkStart w:id="133" w:name="_Toc4283"/>
      <w:bookmarkStart w:id="134" w:name="_Toc220403898"/>
      <w:bookmarkStart w:id="135" w:name="_Toc25206"/>
      <w:bookmarkStart w:id="136" w:name="_Toc2834"/>
      <w:r>
        <w:rPr>
          <w:rFonts w:hint="eastAsia" w:ascii="仿宋_GB2312" w:hAnsi="仿宋_GB2312" w:eastAsia="仿宋_GB2312" w:cs="Times New Roman"/>
          <w:b/>
          <w:bCs/>
          <w:kern w:val="2"/>
          <w:sz w:val="24"/>
          <w:szCs w:val="32"/>
          <w:lang w:val="en-US" w:eastAsia="zh-CN" w:bidi="ar-SA"/>
        </w:rPr>
        <w:t>一、</w:t>
      </w:r>
      <w:r>
        <w:rPr>
          <w:rFonts w:hint="eastAsia"/>
          <w:highlight w:val="none"/>
        </w:rPr>
        <w:t>供应商须知前附表</w:t>
      </w:r>
      <w:bookmarkEnd w:id="124"/>
      <w:bookmarkEnd w:id="125"/>
      <w:bookmarkEnd w:id="126"/>
      <w:bookmarkEnd w:id="127"/>
      <w:bookmarkEnd w:id="128"/>
      <w:bookmarkEnd w:id="129"/>
      <w:bookmarkEnd w:id="130"/>
      <w:bookmarkEnd w:id="131"/>
      <w:bookmarkEnd w:id="132"/>
      <w:bookmarkEnd w:id="133"/>
      <w:bookmarkEnd w:id="134"/>
      <w:bookmarkEnd w:id="135"/>
      <w:bookmarkEnd w:id="136"/>
    </w:p>
    <w:tbl>
      <w:tblPr>
        <w:tblStyle w:val="25"/>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890"/>
        <w:gridCol w:w="5704"/>
      </w:tblGrid>
      <w:tr w14:paraId="7035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23" w:type="pct"/>
            <w:noWrap w:val="0"/>
            <w:vAlign w:val="top"/>
          </w:tcPr>
          <w:p w14:paraId="53BBD86D">
            <w:pPr>
              <w:bidi w:val="0"/>
              <w:ind w:left="0" w:leftChars="0" w:firstLine="0" w:firstLineChars="0"/>
              <w:jc w:val="center"/>
              <w:rPr>
                <w:b/>
                <w:bCs/>
                <w:color w:val="auto"/>
                <w:highlight w:val="none"/>
              </w:rPr>
            </w:pPr>
            <w:r>
              <w:rPr>
                <w:rFonts w:hint="eastAsia"/>
                <w:b/>
                <w:bCs/>
                <w:color w:val="auto"/>
                <w:highlight w:val="none"/>
              </w:rPr>
              <w:t>序号</w:t>
            </w:r>
          </w:p>
        </w:tc>
        <w:tc>
          <w:tcPr>
            <w:tcW w:w="1113" w:type="pct"/>
            <w:noWrap w:val="0"/>
            <w:vAlign w:val="top"/>
          </w:tcPr>
          <w:p w14:paraId="591B4D09">
            <w:pPr>
              <w:bidi w:val="0"/>
              <w:ind w:left="0" w:leftChars="0" w:firstLine="0" w:firstLineChars="0"/>
              <w:jc w:val="center"/>
              <w:rPr>
                <w:rFonts w:hint="default" w:eastAsia="仿宋"/>
                <w:b/>
                <w:bCs/>
                <w:color w:val="auto"/>
                <w:highlight w:val="none"/>
                <w:lang w:val="en-US" w:eastAsia="zh-CN"/>
              </w:rPr>
            </w:pPr>
            <w:r>
              <w:rPr>
                <w:rFonts w:hint="eastAsia"/>
                <w:b/>
                <w:bCs/>
                <w:color w:val="auto"/>
                <w:highlight w:val="none"/>
                <w:lang w:val="en-US" w:eastAsia="zh-CN"/>
              </w:rPr>
              <w:t>条款名称</w:t>
            </w:r>
          </w:p>
        </w:tc>
        <w:tc>
          <w:tcPr>
            <w:tcW w:w="3362" w:type="pct"/>
            <w:noWrap w:val="0"/>
            <w:vAlign w:val="top"/>
          </w:tcPr>
          <w:p w14:paraId="65C9C190">
            <w:pPr>
              <w:bidi w:val="0"/>
              <w:ind w:left="0" w:leftChars="0" w:firstLine="0" w:firstLineChars="0"/>
              <w:jc w:val="center"/>
              <w:rPr>
                <w:rFonts w:hint="eastAsia"/>
                <w:b/>
                <w:bCs/>
                <w:color w:val="auto"/>
                <w:highlight w:val="none"/>
              </w:rPr>
            </w:pPr>
            <w:r>
              <w:rPr>
                <w:rFonts w:hint="eastAsia"/>
                <w:b/>
                <w:bCs/>
                <w:color w:val="auto"/>
                <w:highlight w:val="none"/>
              </w:rPr>
              <w:t>内容</w:t>
            </w:r>
          </w:p>
        </w:tc>
      </w:tr>
      <w:tr w14:paraId="1D45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23" w:type="pct"/>
            <w:tcBorders>
              <w:bottom w:val="single" w:color="auto" w:sz="4" w:space="0"/>
            </w:tcBorders>
            <w:noWrap w:val="0"/>
            <w:vAlign w:val="center"/>
          </w:tcPr>
          <w:p w14:paraId="4397F7C2">
            <w:pPr>
              <w:bidi w:val="0"/>
              <w:ind w:left="0" w:leftChars="0" w:firstLine="0" w:firstLineChars="0"/>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1</w:t>
            </w:r>
          </w:p>
        </w:tc>
        <w:tc>
          <w:tcPr>
            <w:tcW w:w="1113" w:type="pct"/>
            <w:tcBorders>
              <w:bottom w:val="single" w:color="auto" w:sz="4" w:space="0"/>
            </w:tcBorders>
            <w:noWrap w:val="0"/>
            <w:vAlign w:val="center"/>
          </w:tcPr>
          <w:p w14:paraId="60076644">
            <w:pPr>
              <w:bidi w:val="0"/>
              <w:ind w:left="0" w:leftChars="0" w:firstLine="0" w:firstLineChars="0"/>
              <w:jc w:val="center"/>
              <w:rPr>
                <w:rFonts w:hint="default" w:ascii="Times New Roman" w:hAnsi="Times New Roman" w:eastAsia="仿宋" w:cs="Times New Roman"/>
                <w:color w:val="auto"/>
                <w:highlight w:val="none"/>
                <w:lang w:val="en-US" w:eastAsia="zh-CN"/>
              </w:rPr>
            </w:pPr>
            <w:r>
              <w:rPr>
                <w:rFonts w:hint="eastAsia" w:ascii="Times New Roman" w:hAnsi="Times New Roman" w:cs="Times New Roman"/>
                <w:color w:val="auto"/>
                <w:highlight w:val="none"/>
                <w:lang w:val="en-US" w:eastAsia="zh-CN"/>
              </w:rPr>
              <w:t>项目名称</w:t>
            </w:r>
          </w:p>
        </w:tc>
        <w:tc>
          <w:tcPr>
            <w:tcW w:w="3362" w:type="pct"/>
            <w:tcBorders>
              <w:bottom w:val="single" w:color="auto" w:sz="4" w:space="0"/>
            </w:tcBorders>
            <w:noWrap w:val="0"/>
            <w:vAlign w:val="center"/>
          </w:tcPr>
          <w:p w14:paraId="380B96E7">
            <w:pPr>
              <w:bidi w:val="0"/>
              <w:ind w:left="0" w:leftChars="0" w:firstLine="480" w:firstLineChars="200"/>
              <w:jc w:val="left"/>
              <w:rPr>
                <w:rFonts w:hint="eastAsia" w:ascii="Times New Roman" w:hAnsi="Times New Roman" w:cs="Times New Roman"/>
                <w:color w:val="auto"/>
                <w:highlight w:val="none"/>
              </w:rPr>
            </w:pPr>
            <w:r>
              <w:rPr>
                <w:rFonts w:hint="eastAsia"/>
                <w:highlight w:val="none"/>
              </w:rPr>
              <w:t xml:space="preserve">详见“第一章 </w:t>
            </w:r>
            <w:r>
              <w:rPr>
                <w:rFonts w:hint="eastAsia"/>
                <w:highlight w:val="none"/>
                <w:lang w:eastAsia="zh-CN"/>
              </w:rPr>
              <w:t>磋商公告</w:t>
            </w:r>
            <w:r>
              <w:rPr>
                <w:rFonts w:hint="eastAsia"/>
                <w:highlight w:val="none"/>
              </w:rPr>
              <w:t>”</w:t>
            </w:r>
          </w:p>
        </w:tc>
      </w:tr>
      <w:tr w14:paraId="5413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23" w:type="pct"/>
            <w:tcBorders>
              <w:bottom w:val="single" w:color="auto" w:sz="4" w:space="0"/>
            </w:tcBorders>
            <w:noWrap w:val="0"/>
            <w:vAlign w:val="center"/>
          </w:tcPr>
          <w:p w14:paraId="3F816C14">
            <w:pPr>
              <w:bidi w:val="0"/>
              <w:ind w:left="0" w:leftChars="0" w:firstLine="0" w:firstLineChars="0"/>
              <w:jc w:val="center"/>
              <w:rPr>
                <w:rFonts w:hint="eastAsia" w:ascii="Times New Roman" w:hAnsi="Times New Roman" w:eastAsia="仿宋" w:cs="Times New Roman"/>
                <w:color w:val="auto"/>
                <w:highlight w:val="none"/>
                <w:lang w:val="en-US" w:eastAsia="zh-CN"/>
              </w:rPr>
            </w:pPr>
            <w:r>
              <w:rPr>
                <w:rFonts w:hint="eastAsia" w:ascii="Times New Roman" w:hAnsi="Times New Roman" w:cs="Times New Roman"/>
                <w:color w:val="auto"/>
                <w:highlight w:val="none"/>
                <w:lang w:val="en-US" w:eastAsia="zh-CN"/>
              </w:rPr>
              <w:t>2</w:t>
            </w:r>
          </w:p>
        </w:tc>
        <w:tc>
          <w:tcPr>
            <w:tcW w:w="1113" w:type="pct"/>
            <w:tcBorders>
              <w:bottom w:val="single" w:color="auto" w:sz="4" w:space="0"/>
            </w:tcBorders>
            <w:noWrap w:val="0"/>
            <w:vAlign w:val="center"/>
          </w:tcPr>
          <w:p w14:paraId="35009CCB">
            <w:pPr>
              <w:bidi w:val="0"/>
              <w:ind w:left="0" w:leftChars="0" w:firstLine="0" w:firstLineChars="0"/>
              <w:jc w:val="center"/>
              <w:rPr>
                <w:rFonts w:hint="default" w:ascii="Times New Roman" w:hAnsi="Times New Roman" w:eastAsia="仿宋" w:cs="Times New Roman"/>
                <w:color w:val="auto"/>
                <w:highlight w:val="none"/>
                <w:lang w:val="en-US" w:eastAsia="zh-CN"/>
              </w:rPr>
            </w:pPr>
            <w:r>
              <w:rPr>
                <w:rFonts w:hint="eastAsia" w:ascii="Times New Roman" w:hAnsi="Times New Roman" w:cs="Times New Roman"/>
                <w:color w:val="auto"/>
                <w:highlight w:val="none"/>
                <w:lang w:val="en-US" w:eastAsia="zh-CN"/>
              </w:rPr>
              <w:t>项目编号</w:t>
            </w:r>
          </w:p>
        </w:tc>
        <w:tc>
          <w:tcPr>
            <w:tcW w:w="3362" w:type="pct"/>
            <w:tcBorders>
              <w:bottom w:val="single" w:color="auto" w:sz="4" w:space="0"/>
            </w:tcBorders>
            <w:noWrap w:val="0"/>
            <w:vAlign w:val="center"/>
          </w:tcPr>
          <w:p w14:paraId="74FB4648">
            <w:pPr>
              <w:bidi w:val="0"/>
              <w:ind w:left="0" w:leftChars="0" w:firstLine="480" w:firstLineChars="200"/>
              <w:jc w:val="left"/>
              <w:rPr>
                <w:rFonts w:hint="eastAsia" w:ascii="Times New Roman" w:hAnsi="Times New Roman" w:cs="Times New Roman"/>
                <w:color w:val="auto"/>
                <w:highlight w:val="none"/>
              </w:rPr>
            </w:pPr>
            <w:r>
              <w:rPr>
                <w:rFonts w:hint="eastAsia"/>
                <w:highlight w:val="none"/>
              </w:rPr>
              <w:t xml:space="preserve">详见“第一章 </w:t>
            </w:r>
            <w:r>
              <w:rPr>
                <w:rFonts w:hint="eastAsia"/>
                <w:highlight w:val="none"/>
                <w:lang w:eastAsia="zh-CN"/>
              </w:rPr>
              <w:t>磋商公告</w:t>
            </w:r>
            <w:r>
              <w:rPr>
                <w:rFonts w:hint="eastAsia"/>
                <w:highlight w:val="none"/>
              </w:rPr>
              <w:t>”</w:t>
            </w:r>
          </w:p>
        </w:tc>
      </w:tr>
      <w:tr w14:paraId="0D28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23" w:type="pct"/>
            <w:tcBorders>
              <w:bottom w:val="single" w:color="auto" w:sz="4" w:space="0"/>
            </w:tcBorders>
            <w:noWrap w:val="0"/>
            <w:vAlign w:val="center"/>
          </w:tcPr>
          <w:p w14:paraId="5BC7B24B">
            <w:pPr>
              <w:bidi w:val="0"/>
              <w:ind w:left="0" w:leftChars="0" w:firstLine="0" w:firstLineChars="0"/>
              <w:jc w:val="center"/>
              <w:rPr>
                <w:rFonts w:hint="eastAsia" w:ascii="Times New Roman" w:hAnsi="Times New Roman" w:eastAsia="仿宋" w:cs="Times New Roman"/>
                <w:color w:val="auto"/>
                <w:highlight w:val="none"/>
                <w:lang w:val="en-US" w:eastAsia="zh-CN"/>
              </w:rPr>
            </w:pPr>
            <w:r>
              <w:rPr>
                <w:rFonts w:hint="eastAsia" w:ascii="Times New Roman" w:hAnsi="Times New Roman" w:cs="Times New Roman"/>
                <w:color w:val="auto"/>
                <w:highlight w:val="none"/>
                <w:lang w:val="en-US" w:eastAsia="zh-CN"/>
              </w:rPr>
              <w:t>3</w:t>
            </w:r>
          </w:p>
        </w:tc>
        <w:tc>
          <w:tcPr>
            <w:tcW w:w="1113" w:type="pct"/>
            <w:tcBorders>
              <w:bottom w:val="single" w:color="auto" w:sz="4" w:space="0"/>
            </w:tcBorders>
            <w:noWrap w:val="0"/>
            <w:vAlign w:val="center"/>
          </w:tcPr>
          <w:p w14:paraId="55F05688">
            <w:pPr>
              <w:bidi w:val="0"/>
              <w:ind w:left="0" w:leftChars="0" w:firstLine="0" w:firstLineChars="0"/>
              <w:jc w:val="center"/>
              <w:rPr>
                <w:rFonts w:hint="eastAsia" w:ascii="Times New Roman" w:hAnsi="Times New Roman" w:eastAsia="仿宋" w:cs="Times New Roman"/>
                <w:color w:val="auto"/>
                <w:kern w:val="2"/>
                <w:sz w:val="24"/>
                <w:highlight w:val="none"/>
                <w:lang w:val="en-US" w:eastAsia="zh-CN" w:bidi="ar-SA"/>
              </w:rPr>
            </w:pPr>
            <w:r>
              <w:rPr>
                <w:rFonts w:hint="eastAsia" w:ascii="Times New Roman" w:hAnsi="Times New Roman" w:cs="Times New Roman"/>
                <w:color w:val="auto"/>
                <w:highlight w:val="none"/>
              </w:rPr>
              <w:t>采购人名称</w:t>
            </w:r>
          </w:p>
        </w:tc>
        <w:tc>
          <w:tcPr>
            <w:tcW w:w="3362" w:type="pct"/>
            <w:tcBorders>
              <w:bottom w:val="single" w:color="auto" w:sz="4" w:space="0"/>
            </w:tcBorders>
            <w:noWrap w:val="0"/>
            <w:vAlign w:val="center"/>
          </w:tcPr>
          <w:p w14:paraId="4070EECA">
            <w:pPr>
              <w:bidi w:val="0"/>
              <w:ind w:left="0" w:leftChars="0" w:firstLine="480" w:firstLineChars="200"/>
              <w:jc w:val="left"/>
              <w:rPr>
                <w:rFonts w:hint="eastAsia" w:ascii="Times New Roman" w:hAnsi="Times New Roman" w:eastAsia="仿宋" w:cs="Times New Roman"/>
                <w:color w:val="auto"/>
                <w:kern w:val="2"/>
                <w:sz w:val="24"/>
                <w:highlight w:val="none"/>
                <w:lang w:val="en-US" w:eastAsia="zh-CN" w:bidi="ar-SA"/>
              </w:rPr>
            </w:pPr>
            <w:r>
              <w:rPr>
                <w:rFonts w:hint="eastAsia"/>
                <w:highlight w:val="none"/>
              </w:rPr>
              <w:t xml:space="preserve">详见“第一章 </w:t>
            </w:r>
            <w:r>
              <w:rPr>
                <w:rFonts w:hint="eastAsia"/>
                <w:highlight w:val="none"/>
                <w:lang w:eastAsia="zh-CN"/>
              </w:rPr>
              <w:t>磋商公告</w:t>
            </w:r>
            <w:r>
              <w:rPr>
                <w:rFonts w:hint="eastAsia"/>
                <w:highlight w:val="none"/>
              </w:rPr>
              <w:t>”</w:t>
            </w:r>
          </w:p>
        </w:tc>
      </w:tr>
      <w:tr w14:paraId="15D09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3" w:type="pct"/>
            <w:tcBorders>
              <w:bottom w:val="single" w:color="auto" w:sz="4" w:space="0"/>
            </w:tcBorders>
            <w:noWrap w:val="0"/>
            <w:vAlign w:val="center"/>
          </w:tcPr>
          <w:p w14:paraId="1A560E6C">
            <w:pPr>
              <w:bidi w:val="0"/>
              <w:ind w:left="0" w:leftChars="0" w:firstLine="0" w:firstLineChars="0"/>
              <w:jc w:val="center"/>
              <w:rPr>
                <w:rFonts w:hint="eastAsia" w:ascii="Times New Roman" w:hAnsi="Times New Roman" w:eastAsia="仿宋" w:cs="Times New Roman"/>
                <w:color w:val="auto"/>
                <w:highlight w:val="none"/>
                <w:lang w:val="en-US" w:eastAsia="zh-CN"/>
              </w:rPr>
            </w:pPr>
            <w:r>
              <w:rPr>
                <w:rFonts w:hint="eastAsia" w:ascii="Times New Roman" w:hAnsi="Times New Roman" w:cs="Times New Roman"/>
                <w:color w:val="auto"/>
                <w:highlight w:val="none"/>
                <w:lang w:val="en-US" w:eastAsia="zh-CN"/>
              </w:rPr>
              <w:t>4</w:t>
            </w:r>
          </w:p>
        </w:tc>
        <w:tc>
          <w:tcPr>
            <w:tcW w:w="1113" w:type="pct"/>
            <w:tcBorders>
              <w:bottom w:val="single" w:color="auto" w:sz="4" w:space="0"/>
            </w:tcBorders>
            <w:noWrap w:val="0"/>
            <w:vAlign w:val="center"/>
          </w:tcPr>
          <w:p w14:paraId="77EC7AB7">
            <w:pPr>
              <w:bidi w:val="0"/>
              <w:ind w:left="0" w:leftChars="0" w:firstLine="0" w:firstLineChars="0"/>
              <w:jc w:val="center"/>
              <w:rPr>
                <w:rFonts w:hint="default" w:ascii="Times New Roman" w:hAnsi="Times New Roman" w:eastAsia="仿宋" w:cs="Times New Roman"/>
                <w:color w:val="auto"/>
                <w:highlight w:val="none"/>
                <w:lang w:val="en-US" w:eastAsia="zh-CN"/>
              </w:rPr>
            </w:pPr>
            <w:r>
              <w:rPr>
                <w:rFonts w:hint="eastAsia" w:ascii="Times New Roman" w:hAnsi="Times New Roman" w:cs="Times New Roman"/>
                <w:color w:val="auto"/>
                <w:highlight w:val="none"/>
                <w:lang w:val="en-US" w:eastAsia="zh-CN"/>
              </w:rPr>
              <w:t>采购内容</w:t>
            </w:r>
          </w:p>
        </w:tc>
        <w:tc>
          <w:tcPr>
            <w:tcW w:w="3362" w:type="pct"/>
            <w:tcBorders>
              <w:bottom w:val="single" w:color="auto" w:sz="4" w:space="0"/>
            </w:tcBorders>
            <w:noWrap w:val="0"/>
            <w:vAlign w:val="center"/>
          </w:tcPr>
          <w:p w14:paraId="2555860B">
            <w:pPr>
              <w:bidi w:val="0"/>
              <w:ind w:left="0" w:leftChars="0" w:firstLine="480" w:firstLineChars="200"/>
              <w:jc w:val="left"/>
              <w:rPr>
                <w:rFonts w:hint="eastAsia" w:ascii="Times New Roman" w:hAnsi="Times New Roman" w:cs="Times New Roman"/>
                <w:color w:val="auto"/>
                <w:highlight w:val="none"/>
                <w:lang w:val="en-US" w:eastAsia="zh-CN"/>
              </w:rPr>
            </w:pPr>
            <w:r>
              <w:rPr>
                <w:rFonts w:hint="eastAsia"/>
                <w:highlight w:val="none"/>
              </w:rPr>
              <w:t xml:space="preserve">详见“第一章 </w:t>
            </w:r>
            <w:r>
              <w:rPr>
                <w:rFonts w:hint="eastAsia"/>
                <w:highlight w:val="none"/>
                <w:lang w:eastAsia="zh-CN"/>
              </w:rPr>
              <w:t>磋商公告</w:t>
            </w:r>
            <w:r>
              <w:rPr>
                <w:rFonts w:hint="eastAsia"/>
                <w:highlight w:val="none"/>
              </w:rPr>
              <w:t>”</w:t>
            </w:r>
          </w:p>
        </w:tc>
      </w:tr>
      <w:tr w14:paraId="412B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23" w:type="pct"/>
            <w:tcBorders>
              <w:bottom w:val="single" w:color="auto" w:sz="4" w:space="0"/>
            </w:tcBorders>
            <w:noWrap w:val="0"/>
            <w:vAlign w:val="center"/>
          </w:tcPr>
          <w:p w14:paraId="1E2AAFB6">
            <w:pPr>
              <w:bidi w:val="0"/>
              <w:ind w:left="0" w:leftChars="0" w:firstLine="0" w:firstLineChars="0"/>
              <w:jc w:val="center"/>
              <w:rPr>
                <w:rFonts w:hint="eastAsia" w:ascii="Times New Roman" w:hAnsi="Times New Roman" w:eastAsia="仿宋" w:cs="Times New Roman"/>
                <w:color w:val="auto"/>
                <w:highlight w:val="none"/>
                <w:lang w:eastAsia="zh-CN"/>
              </w:rPr>
            </w:pPr>
            <w:r>
              <w:rPr>
                <w:rFonts w:hint="eastAsia" w:ascii="Times New Roman" w:hAnsi="Times New Roman" w:cs="Times New Roman"/>
                <w:color w:val="auto"/>
                <w:highlight w:val="none"/>
                <w:lang w:val="en-US" w:eastAsia="zh-CN"/>
              </w:rPr>
              <w:t>5</w:t>
            </w:r>
          </w:p>
        </w:tc>
        <w:tc>
          <w:tcPr>
            <w:tcW w:w="1113" w:type="pct"/>
            <w:tcBorders>
              <w:bottom w:val="single" w:color="auto" w:sz="4" w:space="0"/>
            </w:tcBorders>
            <w:noWrap w:val="0"/>
            <w:vAlign w:val="center"/>
          </w:tcPr>
          <w:p w14:paraId="073964E4">
            <w:pPr>
              <w:bidi w:val="0"/>
              <w:ind w:left="0" w:leftChars="0" w:firstLine="0" w:firstLineChars="0"/>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供应商的资格要求</w:t>
            </w:r>
          </w:p>
        </w:tc>
        <w:tc>
          <w:tcPr>
            <w:tcW w:w="3362" w:type="pct"/>
            <w:tcBorders>
              <w:bottom w:val="single" w:color="auto" w:sz="4" w:space="0"/>
            </w:tcBorders>
            <w:noWrap w:val="0"/>
            <w:vAlign w:val="center"/>
          </w:tcPr>
          <w:p w14:paraId="641BF5F5">
            <w:pPr>
              <w:bidi w:val="0"/>
              <w:rPr>
                <w:rFonts w:hint="eastAsia"/>
                <w:highlight w:val="none"/>
              </w:rPr>
            </w:pPr>
            <w:r>
              <w:rPr>
                <w:rFonts w:hint="eastAsia"/>
                <w:highlight w:val="none"/>
              </w:rPr>
              <w:t xml:space="preserve">详见“第一章 </w:t>
            </w:r>
            <w:r>
              <w:rPr>
                <w:rFonts w:hint="eastAsia"/>
                <w:highlight w:val="none"/>
                <w:lang w:eastAsia="zh-CN"/>
              </w:rPr>
              <w:t>磋商公告</w:t>
            </w:r>
            <w:r>
              <w:rPr>
                <w:rFonts w:hint="eastAsia"/>
                <w:highlight w:val="none"/>
              </w:rPr>
              <w:t>”</w:t>
            </w:r>
          </w:p>
        </w:tc>
      </w:tr>
      <w:tr w14:paraId="51FB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23" w:type="pct"/>
            <w:tcBorders>
              <w:bottom w:val="single" w:color="auto" w:sz="4" w:space="0"/>
            </w:tcBorders>
            <w:noWrap w:val="0"/>
            <w:vAlign w:val="center"/>
          </w:tcPr>
          <w:p w14:paraId="7680CB08">
            <w:pPr>
              <w:bidi w:val="0"/>
              <w:ind w:left="0" w:leftChars="0" w:firstLine="0" w:firstLineChars="0"/>
              <w:jc w:val="center"/>
              <w:rPr>
                <w:rFonts w:hint="eastAsia" w:ascii="Times New Roman" w:hAnsi="Times New Roman" w:eastAsia="仿宋" w:cs="Times New Roman"/>
                <w:color w:val="auto"/>
                <w:highlight w:val="none"/>
                <w:lang w:eastAsia="zh-CN"/>
              </w:rPr>
            </w:pPr>
            <w:r>
              <w:rPr>
                <w:rFonts w:hint="eastAsia" w:ascii="Times New Roman" w:hAnsi="Times New Roman" w:cs="Times New Roman"/>
                <w:color w:val="auto"/>
                <w:highlight w:val="none"/>
                <w:lang w:val="en-US" w:eastAsia="zh-CN"/>
              </w:rPr>
              <w:t>6</w:t>
            </w:r>
          </w:p>
        </w:tc>
        <w:tc>
          <w:tcPr>
            <w:tcW w:w="1113" w:type="pct"/>
            <w:tcBorders>
              <w:bottom w:val="single" w:color="auto" w:sz="4" w:space="0"/>
            </w:tcBorders>
            <w:noWrap w:val="0"/>
            <w:vAlign w:val="center"/>
          </w:tcPr>
          <w:p w14:paraId="0BA5676C">
            <w:pPr>
              <w:bidi w:val="0"/>
              <w:ind w:left="0" w:leftChars="0" w:firstLine="0" w:firstLineChars="0"/>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本项目是否接受联合体</w:t>
            </w:r>
          </w:p>
        </w:tc>
        <w:tc>
          <w:tcPr>
            <w:tcW w:w="3362" w:type="pct"/>
            <w:tcBorders>
              <w:bottom w:val="single" w:color="auto" w:sz="4" w:space="0"/>
            </w:tcBorders>
            <w:noWrap w:val="0"/>
            <w:vAlign w:val="center"/>
          </w:tcPr>
          <w:p w14:paraId="03775957">
            <w:pPr>
              <w:bidi w:val="0"/>
              <w:rPr>
                <w:rFonts w:hint="eastAsia" w:ascii="Times New Roman" w:hAnsi="Times New Roman" w:cs="Times New Roman"/>
                <w:color w:val="auto"/>
                <w:highlight w:val="none"/>
              </w:rPr>
            </w:pPr>
            <w:r>
              <w:rPr>
                <w:rFonts w:hint="eastAsia" w:ascii="Times New Roman" w:hAnsi="Times New Roman" w:cs="Times New Roman"/>
                <w:color w:val="auto"/>
                <w:highlight w:val="none"/>
              </w:rPr>
              <w:sym w:font="Wingdings 2" w:char="00A3"/>
            </w:r>
            <w:r>
              <w:rPr>
                <w:rFonts w:hint="eastAsia" w:ascii="Times New Roman" w:hAnsi="Times New Roman" w:cs="Times New Roman"/>
                <w:color w:val="auto"/>
                <w:highlight w:val="none"/>
              </w:rPr>
              <w:t xml:space="preserve">接受        </w:t>
            </w:r>
            <w:r>
              <w:rPr>
                <w:rFonts w:hint="eastAsia" w:ascii="Times New Roman" w:hAnsi="Times New Roman" w:cs="Times New Roman"/>
                <w:color w:val="auto"/>
                <w:highlight w:val="none"/>
              </w:rPr>
              <w:sym w:font="Wingdings 2" w:char="0052"/>
            </w:r>
            <w:r>
              <w:rPr>
                <w:rFonts w:hint="eastAsia" w:ascii="Times New Roman" w:hAnsi="Times New Roman" w:cs="Times New Roman"/>
                <w:color w:val="auto"/>
                <w:highlight w:val="none"/>
              </w:rPr>
              <w:t xml:space="preserve">不接受 </w:t>
            </w:r>
          </w:p>
        </w:tc>
      </w:tr>
      <w:tr w14:paraId="6951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23" w:type="pct"/>
            <w:tcBorders>
              <w:bottom w:val="single" w:color="auto" w:sz="4" w:space="0"/>
            </w:tcBorders>
            <w:noWrap w:val="0"/>
            <w:vAlign w:val="center"/>
          </w:tcPr>
          <w:p w14:paraId="5CC351BC">
            <w:pPr>
              <w:bidi w:val="0"/>
              <w:ind w:left="0" w:leftChars="0" w:firstLine="0" w:firstLineChars="0"/>
              <w:jc w:val="center"/>
              <w:rPr>
                <w:rFonts w:hint="eastAsia" w:ascii="Times New Roman" w:hAnsi="Times New Roman" w:eastAsia="仿宋" w:cs="Times New Roman"/>
                <w:color w:val="auto"/>
                <w:highlight w:val="none"/>
                <w:lang w:val="en-US" w:eastAsia="zh-CN"/>
              </w:rPr>
            </w:pPr>
            <w:r>
              <w:rPr>
                <w:rFonts w:hint="eastAsia" w:ascii="Times New Roman" w:hAnsi="Times New Roman" w:cs="Times New Roman"/>
                <w:color w:val="auto"/>
                <w:highlight w:val="none"/>
                <w:lang w:val="en-US" w:eastAsia="zh-CN"/>
              </w:rPr>
              <w:t>7</w:t>
            </w:r>
          </w:p>
        </w:tc>
        <w:tc>
          <w:tcPr>
            <w:tcW w:w="1113" w:type="pct"/>
            <w:tcBorders>
              <w:bottom w:val="single" w:color="auto" w:sz="4" w:space="0"/>
            </w:tcBorders>
            <w:noWrap w:val="0"/>
            <w:vAlign w:val="center"/>
          </w:tcPr>
          <w:p w14:paraId="1F0463B2">
            <w:pPr>
              <w:bidi w:val="0"/>
              <w:ind w:left="0" w:leftChars="0" w:firstLine="0" w:firstLineChars="0"/>
              <w:jc w:val="center"/>
              <w:rPr>
                <w:rFonts w:hint="default" w:ascii="Times New Roman" w:hAnsi="Times New Roman" w:eastAsia="仿宋" w:cs="Times New Roman"/>
                <w:color w:val="auto"/>
                <w:highlight w:val="none"/>
                <w:lang w:val="en-US" w:eastAsia="zh-CN"/>
              </w:rPr>
            </w:pPr>
            <w:r>
              <w:rPr>
                <w:rFonts w:hint="eastAsia" w:ascii="Times New Roman" w:hAnsi="Times New Roman" w:cs="Times New Roman"/>
                <w:color w:val="auto"/>
                <w:highlight w:val="none"/>
                <w:lang w:val="en-US" w:eastAsia="zh-CN"/>
              </w:rPr>
              <w:t>踏勘现场</w:t>
            </w:r>
          </w:p>
        </w:tc>
        <w:tc>
          <w:tcPr>
            <w:tcW w:w="3362" w:type="pct"/>
            <w:tcBorders>
              <w:bottom w:val="single" w:color="auto" w:sz="4" w:space="0"/>
            </w:tcBorders>
            <w:noWrap w:val="0"/>
            <w:vAlign w:val="center"/>
          </w:tcPr>
          <w:p w14:paraId="586AF094">
            <w:pPr>
              <w:bidi w:val="0"/>
              <w:rPr>
                <w:rFonts w:hint="eastAsia"/>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现场踏勘形式</w:t>
            </w:r>
          </w:p>
          <w:p w14:paraId="13AC3582">
            <w:pPr>
              <w:bidi w:val="0"/>
              <w:rPr>
                <w:rFonts w:hint="eastAsia"/>
                <w:highlight w:val="none"/>
              </w:rPr>
            </w:pPr>
            <w:r>
              <w:rPr>
                <w:rFonts w:hint="eastAsia"/>
                <w:highlight w:val="none"/>
              </w:rPr>
              <w:t>自行踏勘：</w:t>
            </w:r>
            <w:r>
              <w:rPr>
                <w:rFonts w:hint="eastAsia"/>
                <w:highlight w:val="none"/>
                <w:lang w:eastAsia="zh-CN"/>
              </w:rPr>
              <w:t>采购人</w:t>
            </w:r>
            <w:r>
              <w:rPr>
                <w:rFonts w:hint="eastAsia"/>
                <w:highlight w:val="none"/>
              </w:rPr>
              <w:t>不组织踏勘，各</w:t>
            </w:r>
            <w:r>
              <w:rPr>
                <w:rFonts w:hint="eastAsia"/>
                <w:highlight w:val="none"/>
                <w:lang w:eastAsia="zh-CN"/>
              </w:rPr>
              <w:t>供应商</w:t>
            </w:r>
            <w:r>
              <w:rPr>
                <w:rFonts w:hint="eastAsia"/>
                <w:highlight w:val="none"/>
              </w:rPr>
              <w:t>在开标前自行踏勘现场，以便获取有关编制</w:t>
            </w:r>
            <w:r>
              <w:rPr>
                <w:rFonts w:hint="eastAsia"/>
                <w:highlight w:val="none"/>
                <w:lang w:val="en-US" w:eastAsia="zh-CN"/>
              </w:rPr>
              <w:t>响应</w:t>
            </w:r>
            <w:r>
              <w:rPr>
                <w:rFonts w:hint="eastAsia"/>
                <w:highlight w:val="none"/>
              </w:rPr>
              <w:t>文件所涉及的现场资料。</w:t>
            </w:r>
          </w:p>
          <w:p w14:paraId="32DC18D8">
            <w:pPr>
              <w:bidi w:val="0"/>
              <w:rPr>
                <w:rFonts w:hint="eastAsia" w:ascii="Times New Roman" w:hAnsi="Times New Roman" w:cs="Times New Roman"/>
                <w:color w:val="auto"/>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无论</w:t>
            </w:r>
            <w:r>
              <w:rPr>
                <w:rFonts w:hint="eastAsia"/>
                <w:highlight w:val="none"/>
                <w:lang w:eastAsia="zh-CN"/>
              </w:rPr>
              <w:t>供应商</w:t>
            </w:r>
            <w:r>
              <w:rPr>
                <w:rFonts w:hint="eastAsia"/>
                <w:highlight w:val="none"/>
              </w:rPr>
              <w:t>是否踏勘过现场，均被认为在递交</w:t>
            </w:r>
            <w:r>
              <w:rPr>
                <w:rFonts w:hint="eastAsia"/>
                <w:highlight w:val="none"/>
                <w:lang w:val="en-US" w:eastAsia="zh-CN"/>
              </w:rPr>
              <w:t>响应</w:t>
            </w:r>
            <w:r>
              <w:rPr>
                <w:rFonts w:hint="eastAsia"/>
                <w:highlight w:val="none"/>
              </w:rPr>
              <w:t>文件之前已经踏勘现场，对本项目的风险和义务已经十分了解，并在其</w:t>
            </w:r>
            <w:r>
              <w:rPr>
                <w:rFonts w:hint="eastAsia"/>
                <w:highlight w:val="none"/>
                <w:lang w:val="en-US" w:eastAsia="zh-CN"/>
              </w:rPr>
              <w:t>响应</w:t>
            </w:r>
            <w:r>
              <w:rPr>
                <w:rFonts w:hint="eastAsia"/>
                <w:highlight w:val="none"/>
              </w:rPr>
              <w:t>文件中已充分考虑了现场环境条件。踏勘所产生的费用和安全责任由</w:t>
            </w:r>
            <w:r>
              <w:rPr>
                <w:rFonts w:hint="eastAsia"/>
                <w:highlight w:val="none"/>
                <w:lang w:eastAsia="zh-CN"/>
              </w:rPr>
              <w:t>供应商</w:t>
            </w:r>
            <w:r>
              <w:rPr>
                <w:rFonts w:hint="eastAsia"/>
                <w:highlight w:val="none"/>
              </w:rPr>
              <w:t>自行承担。</w:t>
            </w:r>
          </w:p>
        </w:tc>
      </w:tr>
      <w:tr w14:paraId="62B6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23" w:type="pct"/>
            <w:tcBorders>
              <w:bottom w:val="single" w:color="auto" w:sz="4" w:space="0"/>
            </w:tcBorders>
            <w:noWrap w:val="0"/>
            <w:vAlign w:val="center"/>
          </w:tcPr>
          <w:p w14:paraId="3D5DF3E3">
            <w:pPr>
              <w:bidi w:val="0"/>
              <w:ind w:left="0" w:leftChars="0" w:firstLine="0" w:firstLineChars="0"/>
              <w:jc w:val="center"/>
              <w:rPr>
                <w:rFonts w:hint="eastAsia" w:ascii="Times New Roman" w:hAnsi="Times New Roman" w:eastAsia="仿宋" w:cs="Times New Roman"/>
                <w:color w:val="auto"/>
                <w:highlight w:val="none"/>
                <w:lang w:val="en-US" w:eastAsia="zh-CN"/>
              </w:rPr>
            </w:pPr>
            <w:r>
              <w:rPr>
                <w:rFonts w:hint="eastAsia" w:ascii="Times New Roman" w:hAnsi="Times New Roman" w:cs="Times New Roman"/>
                <w:color w:val="auto"/>
                <w:highlight w:val="none"/>
                <w:lang w:val="en-US" w:eastAsia="zh-CN"/>
              </w:rPr>
              <w:t>8</w:t>
            </w:r>
          </w:p>
        </w:tc>
        <w:tc>
          <w:tcPr>
            <w:tcW w:w="1113" w:type="pct"/>
            <w:tcBorders>
              <w:bottom w:val="single" w:color="auto" w:sz="4" w:space="0"/>
            </w:tcBorders>
            <w:noWrap w:val="0"/>
            <w:vAlign w:val="center"/>
          </w:tcPr>
          <w:p w14:paraId="5C1A9D70">
            <w:pPr>
              <w:bidi w:val="0"/>
              <w:ind w:left="0" w:leftChars="0" w:firstLine="0" w:firstLineChars="0"/>
              <w:jc w:val="center"/>
              <w:rPr>
                <w:rFonts w:hint="eastAsia" w:ascii="Times New Roman" w:hAnsi="Times New Roman" w:eastAsia="仿宋"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控制价</w:t>
            </w:r>
          </w:p>
        </w:tc>
        <w:tc>
          <w:tcPr>
            <w:tcW w:w="3362" w:type="pct"/>
            <w:tcBorders>
              <w:bottom w:val="single" w:color="auto" w:sz="4" w:space="0"/>
            </w:tcBorders>
            <w:noWrap w:val="0"/>
            <w:vAlign w:val="center"/>
          </w:tcPr>
          <w:p w14:paraId="61A83DF4">
            <w:pPr>
              <w:bidi w:val="0"/>
              <w:rPr>
                <w:rFonts w:hint="eastAsia" w:ascii="Times New Roman" w:hAnsi="Times New Roman" w:cs="Times New Roman"/>
                <w:color w:val="auto"/>
                <w:highlight w:val="none"/>
                <w:lang w:val="en-US" w:eastAsia="zh-CN"/>
              </w:rPr>
            </w:pPr>
            <w:r>
              <w:rPr>
                <w:rFonts w:hint="eastAsia"/>
                <w:highlight w:val="none"/>
              </w:rPr>
              <w:t>本项目招标控制价为</w:t>
            </w:r>
            <w:r>
              <w:rPr>
                <w:rFonts w:hint="eastAsia"/>
                <w:highlight w:val="none"/>
                <w:u w:val="single"/>
              </w:rPr>
              <w:t xml:space="preserve">  </w:t>
            </w:r>
            <w:r>
              <w:rPr>
                <w:rFonts w:hint="eastAsia"/>
                <w:highlight w:val="none"/>
                <w:u w:val="single"/>
                <w:lang w:val="en-US" w:eastAsia="zh-CN"/>
              </w:rPr>
              <w:t>96</w:t>
            </w:r>
            <w:r>
              <w:rPr>
                <w:rFonts w:hint="eastAsia"/>
                <w:highlight w:val="none"/>
                <w:u w:val="single"/>
              </w:rPr>
              <w:t xml:space="preserve">  </w:t>
            </w:r>
            <w:r>
              <w:rPr>
                <w:rFonts w:hint="eastAsia"/>
                <w:highlight w:val="none"/>
              </w:rPr>
              <w:t>万元</w:t>
            </w:r>
            <w:r>
              <w:rPr>
                <w:rFonts w:hint="eastAsia" w:cs="Times New Roman"/>
                <w:highlight w:val="none"/>
                <w:lang w:eastAsia="zh-CN"/>
              </w:rPr>
              <w:t>（</w:t>
            </w:r>
            <w:r>
              <w:rPr>
                <w:rFonts w:hint="eastAsia" w:cs="Times New Roman"/>
                <w:highlight w:val="none"/>
                <w:lang w:val="en-US" w:eastAsia="zh-CN"/>
              </w:rPr>
              <w:t>含税</w:t>
            </w:r>
            <w:r>
              <w:rPr>
                <w:rFonts w:hint="eastAsia" w:cs="Times New Roman"/>
                <w:highlight w:val="none"/>
                <w:lang w:eastAsia="zh-CN"/>
              </w:rPr>
              <w:t>）</w:t>
            </w:r>
            <w:r>
              <w:rPr>
                <w:rFonts w:hint="eastAsia" w:cs="Times New Roman"/>
                <w:highlight w:val="none"/>
                <w:lang w:val="en-US" w:eastAsia="zh-CN"/>
              </w:rPr>
              <w:t xml:space="preserve">。 </w:t>
            </w:r>
          </w:p>
        </w:tc>
      </w:tr>
      <w:tr w14:paraId="11C5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23" w:type="pct"/>
            <w:tcBorders>
              <w:bottom w:val="single" w:color="auto" w:sz="4" w:space="0"/>
            </w:tcBorders>
            <w:noWrap w:val="0"/>
            <w:vAlign w:val="center"/>
          </w:tcPr>
          <w:p w14:paraId="4C3F450C">
            <w:pPr>
              <w:bidi w:val="0"/>
              <w:ind w:left="0" w:leftChars="0" w:firstLine="0" w:firstLineChars="0"/>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9</w:t>
            </w:r>
          </w:p>
        </w:tc>
        <w:tc>
          <w:tcPr>
            <w:tcW w:w="1113" w:type="pct"/>
            <w:tcBorders>
              <w:bottom w:val="single" w:color="auto" w:sz="4" w:space="0"/>
            </w:tcBorders>
            <w:noWrap w:val="0"/>
            <w:vAlign w:val="center"/>
          </w:tcPr>
          <w:p w14:paraId="7CF42DEA">
            <w:pPr>
              <w:bidi w:val="0"/>
              <w:ind w:left="0" w:leftChars="0" w:firstLine="0" w:firstLineChars="0"/>
              <w:jc w:val="center"/>
              <w:rPr>
                <w:rFonts w:hint="eastAsia" w:ascii="Times New Roman" w:hAnsi="Times New Roman" w:eastAsia="仿宋"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付款方式</w:t>
            </w:r>
          </w:p>
        </w:tc>
        <w:tc>
          <w:tcPr>
            <w:tcW w:w="3362" w:type="pct"/>
            <w:tcBorders>
              <w:bottom w:val="single" w:color="auto" w:sz="4" w:space="0"/>
            </w:tcBorders>
            <w:noWrap w:val="0"/>
            <w:vAlign w:val="center"/>
          </w:tcPr>
          <w:p w14:paraId="319DD835">
            <w:pPr>
              <w:bidi w:val="0"/>
              <w:jc w:val="left"/>
              <w:rPr>
                <w:rFonts w:hint="default" w:ascii="仿宋_GB2312" w:hAnsi="仿宋_GB2312" w:eastAsia="仿宋_GB2312" w:cs="Times New Roman"/>
                <w:color w:val="auto"/>
                <w:kern w:val="2"/>
                <w:sz w:val="24"/>
                <w:highlight w:val="none"/>
                <w:lang w:val="en-US" w:eastAsia="zh-CN" w:bidi="ar-SA"/>
              </w:rPr>
            </w:pPr>
            <w:r>
              <w:rPr>
                <w:rFonts w:hint="default" w:ascii="仿宋_GB2312" w:hAnsi="仿宋_GB2312" w:eastAsia="仿宋_GB2312" w:cs="Times New Roman"/>
                <w:color w:val="auto"/>
                <w:kern w:val="2"/>
                <w:sz w:val="24"/>
                <w:highlight w:val="none"/>
                <w:lang w:val="en-US" w:eastAsia="zh-CN" w:bidi="ar-SA"/>
              </w:rPr>
              <w:t>(1)合同签约完成且甲方收到乙方发票10个工作日支付首年产品订阅费100%款项、实施开发费30%；</w:t>
            </w:r>
          </w:p>
          <w:p w14:paraId="6D7BB48C">
            <w:pPr>
              <w:bidi w:val="0"/>
              <w:jc w:val="left"/>
              <w:rPr>
                <w:rFonts w:hint="default" w:ascii="仿宋_GB2312" w:hAnsi="仿宋_GB2312" w:eastAsia="仿宋_GB2312" w:cs="Times New Roman"/>
                <w:color w:val="auto"/>
                <w:kern w:val="2"/>
                <w:sz w:val="24"/>
                <w:highlight w:val="none"/>
                <w:lang w:val="en-US" w:eastAsia="zh-CN" w:bidi="ar-SA"/>
              </w:rPr>
            </w:pPr>
            <w:r>
              <w:rPr>
                <w:rFonts w:hint="default" w:ascii="仿宋_GB2312" w:hAnsi="仿宋_GB2312" w:eastAsia="仿宋_GB2312" w:cs="Times New Roman"/>
                <w:color w:val="auto"/>
                <w:kern w:val="2"/>
                <w:sz w:val="24"/>
                <w:highlight w:val="none"/>
                <w:lang w:val="en-US" w:eastAsia="zh-CN" w:bidi="ar-SA"/>
              </w:rPr>
              <w:t>(2)完成项目的系统上线、各模块按实施方案可正常运行且甲方收到乙方发票10个工作日支付实施开发费30%款项；</w:t>
            </w:r>
          </w:p>
          <w:p w14:paraId="72364B3E">
            <w:pPr>
              <w:bidi w:val="0"/>
              <w:jc w:val="left"/>
              <w:rPr>
                <w:rFonts w:hint="default" w:ascii="仿宋_GB2312" w:hAnsi="仿宋_GB2312" w:eastAsia="仿宋_GB2312" w:cs="Times New Roman"/>
                <w:color w:val="auto"/>
                <w:kern w:val="2"/>
                <w:sz w:val="24"/>
                <w:highlight w:val="none"/>
                <w:lang w:val="en-US" w:eastAsia="zh-CN" w:bidi="ar-SA"/>
              </w:rPr>
            </w:pPr>
            <w:r>
              <w:rPr>
                <w:rFonts w:hint="default" w:ascii="仿宋_GB2312" w:hAnsi="仿宋_GB2312" w:eastAsia="仿宋_GB2312" w:cs="Times New Roman"/>
                <w:color w:val="auto"/>
                <w:kern w:val="2"/>
                <w:sz w:val="24"/>
                <w:highlight w:val="none"/>
                <w:lang w:val="en-US" w:eastAsia="zh-CN" w:bidi="ar-SA"/>
              </w:rPr>
              <w:t>(3)系统能够正常稳定运行且验收完成后，甲方收到乙方发票支付剩余实施开发费40%款项；</w:t>
            </w:r>
          </w:p>
          <w:p w14:paraId="2375A505">
            <w:pPr>
              <w:bidi w:val="0"/>
              <w:jc w:val="left"/>
              <w:rPr>
                <w:rFonts w:hint="eastAsia" w:ascii="Times New Roman" w:hAnsi="Times New Roman" w:eastAsia="仿宋" w:cs="Times New Roman"/>
                <w:color w:val="auto"/>
                <w:kern w:val="2"/>
                <w:sz w:val="24"/>
                <w:highlight w:val="none"/>
                <w:lang w:val="en-US" w:eastAsia="zh-CN" w:bidi="ar-SA"/>
              </w:rPr>
            </w:pPr>
            <w:r>
              <w:rPr>
                <w:rFonts w:hint="default" w:ascii="仿宋_GB2312" w:hAnsi="仿宋_GB2312" w:eastAsia="仿宋_GB2312" w:cs="Times New Roman"/>
                <w:color w:val="auto"/>
                <w:kern w:val="2"/>
                <w:sz w:val="24"/>
                <w:highlight w:val="none"/>
                <w:lang w:val="en-US" w:eastAsia="zh-CN" w:bidi="ar-SA"/>
              </w:rPr>
              <w:t>(4)后1年产品订阅费在系统开通前一个月支</w:t>
            </w:r>
            <w:r>
              <w:rPr>
                <w:rFonts w:hint="eastAsia" w:cs="Times New Roman"/>
                <w:color w:val="auto"/>
                <w:kern w:val="2"/>
                <w:sz w:val="24"/>
                <w:highlight w:val="none"/>
                <w:lang w:val="en-US" w:eastAsia="zh-CN" w:bidi="ar-SA"/>
              </w:rPr>
              <w:t>付</w:t>
            </w:r>
            <w:r>
              <w:rPr>
                <w:rFonts w:hint="default" w:ascii="仿宋_GB2312" w:hAnsi="仿宋_GB2312" w:eastAsia="仿宋_GB2312" w:cs="Times New Roman"/>
                <w:color w:val="auto"/>
                <w:kern w:val="2"/>
                <w:sz w:val="24"/>
                <w:highlight w:val="none"/>
                <w:lang w:val="en-US" w:eastAsia="zh-CN" w:bidi="ar-SA"/>
              </w:rPr>
              <w:t>给乙方；</w:t>
            </w:r>
          </w:p>
        </w:tc>
      </w:tr>
      <w:tr w14:paraId="53A0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23" w:type="pct"/>
            <w:tcBorders>
              <w:bottom w:val="single" w:color="auto" w:sz="4" w:space="0"/>
            </w:tcBorders>
            <w:noWrap w:val="0"/>
            <w:vAlign w:val="center"/>
          </w:tcPr>
          <w:p w14:paraId="2E12E3A5">
            <w:pPr>
              <w:bidi w:val="0"/>
              <w:ind w:left="0" w:leftChars="0" w:firstLine="0" w:firstLineChars="0"/>
              <w:jc w:val="center"/>
              <w:rPr>
                <w:rFonts w:hint="default" w:ascii="Times New Roman" w:hAnsi="Times New Roman" w:eastAsia="仿宋"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10</w:t>
            </w:r>
          </w:p>
        </w:tc>
        <w:tc>
          <w:tcPr>
            <w:tcW w:w="1113" w:type="pct"/>
            <w:tcBorders>
              <w:bottom w:val="single" w:color="auto" w:sz="4" w:space="0"/>
            </w:tcBorders>
            <w:noWrap w:val="0"/>
            <w:vAlign w:val="center"/>
          </w:tcPr>
          <w:p w14:paraId="556D221B">
            <w:pPr>
              <w:bidi w:val="0"/>
              <w:ind w:left="0" w:leftChars="0" w:firstLine="0" w:firstLineChars="0"/>
              <w:jc w:val="center"/>
              <w:rPr>
                <w:rFonts w:hint="eastAsia" w:ascii="Times New Roman" w:hAnsi="Times New Roman" w:eastAsia="仿宋"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税率</w:t>
            </w:r>
          </w:p>
        </w:tc>
        <w:tc>
          <w:tcPr>
            <w:tcW w:w="3362" w:type="pct"/>
            <w:tcBorders>
              <w:bottom w:val="single" w:color="auto" w:sz="4" w:space="0"/>
            </w:tcBorders>
            <w:noWrap w:val="0"/>
            <w:vAlign w:val="center"/>
          </w:tcPr>
          <w:p w14:paraId="5DE7BCD1">
            <w:pPr>
              <w:ind w:firstLine="640"/>
              <w:rPr>
                <w:highlight w:val="none"/>
              </w:rPr>
            </w:pPr>
            <w:r>
              <w:rPr>
                <w:rFonts w:hint="eastAsia"/>
                <w:bCs/>
                <w:highlight w:val="none"/>
              </w:rPr>
              <w:sym w:font="Wingdings 2" w:char="0052"/>
            </w:r>
            <w:r>
              <w:rPr>
                <w:rFonts w:hint="eastAsia"/>
                <w:highlight w:val="none"/>
              </w:rPr>
              <w:t>提供</w:t>
            </w:r>
            <w:r>
              <w:rPr>
                <w:rFonts w:hint="eastAsia"/>
                <w:b/>
                <w:bCs/>
                <w:highlight w:val="none"/>
                <w:u w:val="single"/>
              </w:rPr>
              <w:t xml:space="preserve"> </w:t>
            </w:r>
            <w:r>
              <w:rPr>
                <w:rFonts w:hint="eastAsia"/>
                <w:b/>
                <w:bCs/>
                <w:highlight w:val="none"/>
                <w:u w:val="single"/>
                <w:lang w:val="en-US" w:eastAsia="zh-CN"/>
              </w:rPr>
              <w:t>6</w:t>
            </w:r>
            <w:r>
              <w:rPr>
                <w:rFonts w:hint="eastAsia"/>
                <w:b/>
                <w:bCs/>
                <w:highlight w:val="none"/>
                <w:u w:val="single"/>
              </w:rPr>
              <w:t xml:space="preserve"> </w:t>
            </w:r>
            <w:r>
              <w:rPr>
                <w:rFonts w:hint="eastAsia"/>
                <w:b/>
                <w:bCs/>
                <w:highlight w:val="none"/>
              </w:rPr>
              <w:t>%增值税专用发票</w:t>
            </w:r>
            <w:r>
              <w:rPr>
                <w:rFonts w:hint="eastAsia"/>
                <w:highlight w:val="none"/>
              </w:rPr>
              <w:t>，如果</w:t>
            </w:r>
            <w:r>
              <w:rPr>
                <w:rFonts w:hint="eastAsia"/>
                <w:highlight w:val="none"/>
                <w:lang w:eastAsia="zh-CN"/>
              </w:rPr>
              <w:t>供应商</w:t>
            </w:r>
            <w:r>
              <w:rPr>
                <w:rFonts w:hint="eastAsia"/>
                <w:highlight w:val="none"/>
              </w:rPr>
              <w:t>提供的发票税率小于采购人要求的税率，则采购人在进度款支付中扣除中标单位的进销项税额差部分，如进项税额大于销项税额，差额不予退回。</w:t>
            </w:r>
          </w:p>
          <w:p w14:paraId="0EAA7FEA">
            <w:pPr>
              <w:bidi w:val="0"/>
              <w:rPr>
                <w:rFonts w:hint="eastAsia"/>
                <w:highlight w:val="none"/>
                <w:lang w:val="en-US" w:eastAsia="zh-CN"/>
              </w:rPr>
            </w:pPr>
            <w:r>
              <w:rPr>
                <w:highlight w:val="none"/>
              </w:rPr>
              <w:t>本</w:t>
            </w:r>
            <w:r>
              <w:rPr>
                <w:rFonts w:hint="eastAsia"/>
                <w:highlight w:val="none"/>
              </w:rPr>
              <w:t>项目</w:t>
            </w:r>
            <w:r>
              <w:rPr>
                <w:highlight w:val="none"/>
              </w:rPr>
              <w:t>约定的不含税价款不因国家税率变化而变化</w:t>
            </w:r>
            <w:r>
              <w:rPr>
                <w:rFonts w:hint="eastAsia"/>
                <w:highlight w:val="none"/>
              </w:rPr>
              <w:t>，</w:t>
            </w:r>
            <w:r>
              <w:rPr>
                <w:highlight w:val="none"/>
              </w:rPr>
              <w:t>在合同履行期间，如遇国家</w:t>
            </w:r>
            <w:r>
              <w:rPr>
                <w:rFonts w:hint="eastAsia"/>
                <w:highlight w:val="none"/>
              </w:rPr>
              <w:t>政策</w:t>
            </w:r>
            <w:r>
              <w:rPr>
                <w:highlight w:val="none"/>
              </w:rPr>
              <w:t>调整</w:t>
            </w:r>
            <w:r>
              <w:rPr>
                <w:rFonts w:hint="eastAsia"/>
                <w:highlight w:val="none"/>
              </w:rPr>
              <w:t>税率</w:t>
            </w:r>
            <w:r>
              <w:rPr>
                <w:highlight w:val="none"/>
              </w:rPr>
              <w:t>，</w:t>
            </w:r>
            <w:r>
              <w:rPr>
                <w:rFonts w:hint="eastAsia"/>
                <w:highlight w:val="none"/>
              </w:rPr>
              <w:t>则按照最新的增值税税率调整税金，并相应调整含税总价</w:t>
            </w:r>
            <w:r>
              <w:rPr>
                <w:highlight w:val="none"/>
              </w:rPr>
              <w:t>。</w:t>
            </w:r>
          </w:p>
        </w:tc>
      </w:tr>
      <w:tr w14:paraId="4DAE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23" w:type="pct"/>
            <w:tcBorders>
              <w:bottom w:val="single" w:color="auto" w:sz="4" w:space="0"/>
            </w:tcBorders>
            <w:noWrap w:val="0"/>
            <w:vAlign w:val="center"/>
          </w:tcPr>
          <w:p w14:paraId="4B0EEFDA">
            <w:pPr>
              <w:bidi w:val="0"/>
              <w:ind w:left="0" w:leftChars="0" w:firstLine="0" w:firstLineChars="0"/>
              <w:jc w:val="center"/>
              <w:rPr>
                <w:rFonts w:hint="default" w:ascii="Times New Roman" w:hAnsi="Times New Roman" w:eastAsia="仿宋" w:cs="Times New Roman"/>
                <w:color w:val="auto"/>
                <w:highlight w:val="none"/>
                <w:lang w:val="en-US" w:eastAsia="zh-CN"/>
              </w:rPr>
            </w:pPr>
            <w:r>
              <w:rPr>
                <w:rFonts w:hint="eastAsia" w:ascii="Times New Roman" w:hAnsi="Times New Roman" w:cs="Times New Roman"/>
                <w:color w:val="auto"/>
                <w:highlight w:val="none"/>
                <w:lang w:val="en-US" w:eastAsia="zh-CN"/>
              </w:rPr>
              <w:t>11</w:t>
            </w:r>
          </w:p>
        </w:tc>
        <w:tc>
          <w:tcPr>
            <w:tcW w:w="1113" w:type="pct"/>
            <w:tcBorders>
              <w:bottom w:val="single" w:color="auto" w:sz="4" w:space="0"/>
            </w:tcBorders>
            <w:noWrap w:val="0"/>
            <w:vAlign w:val="center"/>
          </w:tcPr>
          <w:p w14:paraId="782134F0">
            <w:pPr>
              <w:bidi w:val="0"/>
              <w:ind w:left="0" w:leftChars="0" w:firstLine="0" w:firstLineChars="0"/>
              <w:jc w:val="center"/>
              <w:rPr>
                <w:rFonts w:hint="eastAsia" w:ascii="Times New Roman" w:hAnsi="Times New Roman" w:eastAsia="仿宋" w:cs="Times New Roman"/>
                <w:color w:val="auto"/>
                <w:highlight w:val="none"/>
                <w:lang w:eastAsia="zh-CN"/>
              </w:rPr>
            </w:pPr>
            <w:r>
              <w:rPr>
                <w:rFonts w:hint="eastAsia" w:ascii="Times New Roman" w:hAnsi="Times New Roman" w:cs="Times New Roman"/>
                <w:color w:val="auto"/>
                <w:highlight w:val="none"/>
                <w:lang w:val="en-US" w:eastAsia="zh-CN"/>
              </w:rPr>
              <w:t>服务期</w:t>
            </w:r>
          </w:p>
        </w:tc>
        <w:tc>
          <w:tcPr>
            <w:tcW w:w="3362" w:type="pct"/>
            <w:tcBorders>
              <w:bottom w:val="single" w:color="auto" w:sz="4" w:space="0"/>
            </w:tcBorders>
            <w:noWrap w:val="0"/>
            <w:vAlign w:val="center"/>
          </w:tcPr>
          <w:p w14:paraId="2BA69399">
            <w:pPr>
              <w:keepNext w:val="0"/>
              <w:keepLines w:val="0"/>
              <w:pageBreakBefore w:val="0"/>
              <w:widowControl w:val="0"/>
              <w:numPr>
                <w:ilvl w:val="0"/>
                <w:numId w:val="0"/>
              </w:numPr>
              <w:kinsoku/>
              <w:wordWrap/>
              <w:overflowPunct/>
              <w:topLinePunct w:val="0"/>
              <w:autoSpaceDE/>
              <w:autoSpaceDN/>
              <w:bidi w:val="0"/>
              <w:adjustRightInd w:val="0"/>
              <w:snapToGrid w:val="0"/>
              <w:ind w:firstLine="480"/>
              <w:textAlignment w:val="auto"/>
              <w:rPr>
                <w:rFonts w:hint="eastAsia" w:eastAsia="仿宋_GB2312"/>
                <w:color w:val="FF0000"/>
                <w:highlight w:val="none"/>
                <w:lang w:val="en-US" w:eastAsia="zh-CN"/>
              </w:rPr>
            </w:pPr>
            <w:r>
              <w:rPr>
                <w:rFonts w:hint="eastAsia" w:eastAsia="仿宋_GB2312"/>
                <w:color w:val="auto"/>
                <w:highlight w:val="none"/>
                <w:lang w:val="en-US" w:eastAsia="zh-CN"/>
              </w:rPr>
              <w:t>服务期共2年。</w:t>
            </w:r>
          </w:p>
        </w:tc>
      </w:tr>
      <w:tr w14:paraId="2608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23" w:type="pct"/>
            <w:tcBorders>
              <w:bottom w:val="single" w:color="auto" w:sz="4" w:space="0"/>
            </w:tcBorders>
            <w:noWrap w:val="0"/>
            <w:vAlign w:val="center"/>
          </w:tcPr>
          <w:p w14:paraId="674F0695">
            <w:pPr>
              <w:bidi w:val="0"/>
              <w:ind w:left="0" w:leftChars="0" w:firstLine="0" w:firstLineChars="0"/>
              <w:jc w:val="center"/>
              <w:rPr>
                <w:rFonts w:hint="default" w:ascii="Times New Roman" w:hAnsi="Times New Roman" w:eastAsia="仿宋"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12</w:t>
            </w:r>
          </w:p>
        </w:tc>
        <w:tc>
          <w:tcPr>
            <w:tcW w:w="1113" w:type="pct"/>
            <w:tcBorders>
              <w:bottom w:val="single" w:color="auto" w:sz="4" w:space="0"/>
            </w:tcBorders>
            <w:noWrap w:val="0"/>
            <w:vAlign w:val="center"/>
          </w:tcPr>
          <w:p w14:paraId="7435217C">
            <w:pPr>
              <w:bidi w:val="0"/>
              <w:ind w:left="0" w:leftChars="0" w:firstLine="0" w:firstLineChars="0"/>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采购要求</w:t>
            </w:r>
          </w:p>
        </w:tc>
        <w:tc>
          <w:tcPr>
            <w:tcW w:w="3362" w:type="pct"/>
            <w:tcBorders>
              <w:bottom w:val="single" w:color="auto" w:sz="4" w:space="0"/>
            </w:tcBorders>
            <w:noWrap w:val="0"/>
            <w:vAlign w:val="center"/>
          </w:tcPr>
          <w:p w14:paraId="70810C10">
            <w:pPr>
              <w:rPr>
                <w:rFonts w:hint="default" w:ascii="仿宋_GB2312" w:hAnsi="仿宋_GB2312" w:eastAsia="仿宋_GB2312" w:cs="Times New Roman"/>
                <w:kern w:val="2"/>
                <w:sz w:val="24"/>
                <w:szCs w:val="20"/>
                <w:highlight w:val="none"/>
                <w:lang w:val="en-US" w:eastAsia="zh-CN" w:bidi="ar-SA"/>
              </w:rPr>
            </w:pPr>
            <w:r>
              <w:rPr>
                <w:rFonts w:hint="default" w:ascii="仿宋_GB2312" w:hAnsi="仿宋_GB2312" w:eastAsia="仿宋_GB2312" w:cs="Times New Roman"/>
                <w:kern w:val="2"/>
                <w:sz w:val="24"/>
                <w:szCs w:val="20"/>
                <w:highlight w:val="none"/>
                <w:lang w:val="en-US" w:eastAsia="zh-CN" w:bidi="ar-SA"/>
              </w:rPr>
              <w:t>（1）建立财务标准化体系：统一会计核算体系、统一管理制度和业务流程、统一基础数据规则，实现业务、财务流程的专业化、标准化、统一化的管理。确保数据的可见、可控、可用，统一数据口径，为公司管理提供基础数据支撑。</w:t>
            </w:r>
          </w:p>
          <w:p w14:paraId="266E8B15">
            <w:pPr>
              <w:rPr>
                <w:rFonts w:hint="default" w:ascii="仿宋_GB2312" w:hAnsi="仿宋_GB2312" w:eastAsia="仿宋_GB2312" w:cs="Times New Roman"/>
                <w:kern w:val="2"/>
                <w:sz w:val="24"/>
                <w:szCs w:val="20"/>
                <w:highlight w:val="none"/>
                <w:lang w:val="en-US" w:eastAsia="zh-CN" w:bidi="ar-SA"/>
              </w:rPr>
            </w:pPr>
            <w:r>
              <w:rPr>
                <w:rFonts w:hint="default" w:ascii="仿宋_GB2312" w:hAnsi="仿宋_GB2312" w:eastAsia="仿宋_GB2312" w:cs="Times New Roman"/>
                <w:kern w:val="2"/>
                <w:sz w:val="24"/>
                <w:szCs w:val="20"/>
                <w:highlight w:val="none"/>
                <w:lang w:val="en-US" w:eastAsia="zh-CN" w:bidi="ar-SA"/>
              </w:rPr>
              <w:t>（2）实现内外部报表自动出具：所属单位均通过集中核算平台的凭证信息生成自身财务报表和管理报表，基于核算信息实现内部往来和内部交易的及时准确对账，公司及各业务板块均在集团财务报告平台加工生成各自的内部合并管理报表和对外监管法定合并报表。</w:t>
            </w:r>
          </w:p>
          <w:p w14:paraId="2AD9D70D">
            <w:pPr>
              <w:rPr>
                <w:rFonts w:hint="default" w:ascii="仿宋_GB2312" w:hAnsi="仿宋_GB2312" w:eastAsia="仿宋_GB2312" w:cs="Times New Roman"/>
                <w:kern w:val="2"/>
                <w:sz w:val="24"/>
                <w:szCs w:val="20"/>
                <w:highlight w:val="none"/>
                <w:lang w:val="en-US" w:eastAsia="zh-CN" w:bidi="ar-SA"/>
              </w:rPr>
            </w:pPr>
            <w:r>
              <w:rPr>
                <w:rFonts w:hint="default" w:ascii="仿宋_GB2312" w:hAnsi="仿宋_GB2312" w:eastAsia="仿宋_GB2312" w:cs="Times New Roman"/>
                <w:kern w:val="2"/>
                <w:sz w:val="24"/>
                <w:szCs w:val="20"/>
                <w:highlight w:val="none"/>
                <w:lang w:val="en-US" w:eastAsia="zh-CN" w:bidi="ar-SA"/>
              </w:rPr>
              <w:t>（</w:t>
            </w:r>
            <w:r>
              <w:rPr>
                <w:rFonts w:hint="default" w:cs="Times New Roman"/>
                <w:kern w:val="2"/>
                <w:sz w:val="24"/>
                <w:szCs w:val="20"/>
                <w:highlight w:val="none"/>
                <w:lang w:val="en-US" w:eastAsia="zh-CN" w:bidi="ar-SA"/>
              </w:rPr>
              <w:t>3</w:t>
            </w:r>
            <w:r>
              <w:rPr>
                <w:rFonts w:hint="default" w:ascii="仿宋_GB2312" w:hAnsi="仿宋_GB2312" w:eastAsia="仿宋_GB2312" w:cs="Times New Roman"/>
                <w:kern w:val="2"/>
                <w:sz w:val="24"/>
                <w:szCs w:val="20"/>
                <w:highlight w:val="none"/>
                <w:lang w:val="en-US" w:eastAsia="zh-CN" w:bidi="ar-SA"/>
              </w:rPr>
              <w:t>）实现智能费用控制全闭环：打通“申请-报销-支付-入账-分析”的全业务链条，通过发票合规性校验、差旅标准来提高费用报销业务的合规性；通过智能填单、移动报销提高用户体验，通过智能审批、分屏审核来提高财务审核的效率，通过费用大屏、自定义分析来实现数据可视可分析，费用核算数据自动生成财务凭证。</w:t>
            </w:r>
          </w:p>
          <w:p w14:paraId="64AB0063">
            <w:pPr>
              <w:rPr>
                <w:rFonts w:hint="default" w:ascii="仿宋_GB2312" w:hAnsi="仿宋_GB2312" w:eastAsia="仿宋_GB2312" w:cs="Times New Roman"/>
                <w:kern w:val="2"/>
                <w:sz w:val="24"/>
                <w:szCs w:val="20"/>
                <w:highlight w:val="yellow"/>
                <w:lang w:val="en-US" w:eastAsia="zh-CN" w:bidi="ar-SA"/>
              </w:rPr>
            </w:pPr>
            <w:bookmarkStart w:id="137" w:name="_Toc8758"/>
            <w:bookmarkStart w:id="138" w:name="_Toc18271"/>
            <w:bookmarkStart w:id="139" w:name="_Toc25236"/>
            <w:bookmarkStart w:id="140" w:name="_Toc27024"/>
            <w:bookmarkStart w:id="141" w:name="_Toc1836"/>
            <w:r>
              <w:rPr>
                <w:rFonts w:hint="eastAsia" w:ascii="仿宋_GB2312" w:hAnsi="仿宋_GB2312" w:eastAsia="仿宋_GB2312" w:cs="Times New Roman"/>
                <w:kern w:val="2"/>
                <w:sz w:val="24"/>
                <w:szCs w:val="20"/>
                <w:highlight w:val="none"/>
                <w:lang w:val="en-US" w:eastAsia="zh-CN" w:bidi="ar-SA"/>
              </w:rPr>
              <w:t>（4）历史数据无缝迁移至新平台：通过历史凭证迁移，将</w:t>
            </w:r>
            <w:r>
              <w:rPr>
                <w:rFonts w:hint="eastAsia" w:cs="Times New Roman"/>
                <w:kern w:val="2"/>
                <w:sz w:val="24"/>
                <w:szCs w:val="20"/>
                <w:highlight w:val="none"/>
                <w:lang w:val="en-US" w:eastAsia="zh-CN" w:bidi="ar-SA"/>
              </w:rPr>
              <w:t>原财务系统</w:t>
            </w:r>
            <w:r>
              <w:rPr>
                <w:rFonts w:hint="eastAsia" w:ascii="仿宋_GB2312" w:hAnsi="仿宋_GB2312" w:eastAsia="仿宋_GB2312" w:cs="Times New Roman"/>
                <w:kern w:val="2"/>
                <w:sz w:val="24"/>
                <w:szCs w:val="20"/>
                <w:highlight w:val="none"/>
                <w:lang w:val="en-US" w:eastAsia="zh-CN" w:bidi="ar-SA"/>
              </w:rPr>
              <w:t>历史的会计数据统一到一个平台，便于账务查询及管理，提高数据安全性、延续性，迁移内容包括：基础资料、总账凭证、出纳、固定资产、报表。（具体详见第六章系统需求及参数要求）</w:t>
            </w:r>
            <w:bookmarkEnd w:id="137"/>
            <w:bookmarkEnd w:id="138"/>
            <w:bookmarkEnd w:id="139"/>
            <w:bookmarkEnd w:id="140"/>
            <w:bookmarkEnd w:id="141"/>
          </w:p>
        </w:tc>
      </w:tr>
      <w:tr w14:paraId="62C0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23" w:type="pct"/>
            <w:tcBorders>
              <w:bottom w:val="single" w:color="auto" w:sz="4" w:space="0"/>
            </w:tcBorders>
            <w:noWrap w:val="0"/>
            <w:vAlign w:val="center"/>
          </w:tcPr>
          <w:p w14:paraId="19B23B59">
            <w:pPr>
              <w:bidi w:val="0"/>
              <w:ind w:left="0" w:leftChars="0" w:firstLine="0" w:firstLineChars="0"/>
              <w:jc w:val="center"/>
              <w:rPr>
                <w:rFonts w:hint="default" w:ascii="Times New Roman" w:hAnsi="Times New Roman" w:eastAsia="仿宋"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13</w:t>
            </w:r>
          </w:p>
        </w:tc>
        <w:tc>
          <w:tcPr>
            <w:tcW w:w="1113" w:type="pct"/>
            <w:tcBorders>
              <w:bottom w:val="single" w:color="auto" w:sz="4" w:space="0"/>
            </w:tcBorders>
            <w:noWrap w:val="0"/>
            <w:vAlign w:val="center"/>
          </w:tcPr>
          <w:p w14:paraId="34AB08EF">
            <w:pPr>
              <w:bidi w:val="0"/>
              <w:ind w:left="0" w:leftChars="0" w:firstLine="0" w:firstLineChars="0"/>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磋商有效期</w:t>
            </w:r>
          </w:p>
        </w:tc>
        <w:tc>
          <w:tcPr>
            <w:tcW w:w="3362" w:type="pct"/>
            <w:tcBorders>
              <w:bottom w:val="single" w:color="auto" w:sz="4" w:space="0"/>
            </w:tcBorders>
            <w:noWrap w:val="0"/>
            <w:vAlign w:val="center"/>
          </w:tcPr>
          <w:p w14:paraId="61462F2E">
            <w:pPr>
              <w:bidi w:val="0"/>
              <w:rPr>
                <w:rFonts w:hint="eastAsia" w:ascii="Times New Roman" w:hAnsi="Times New Roman" w:cs="Times New Roman"/>
                <w:color w:val="auto"/>
                <w:highlight w:val="none"/>
              </w:rPr>
            </w:pPr>
            <w:r>
              <w:rPr>
                <w:rFonts w:hint="eastAsia" w:ascii="Times New Roman" w:hAnsi="Times New Roman" w:cs="Times New Roman"/>
                <w:color w:val="auto"/>
                <w:highlight w:val="none"/>
              </w:rPr>
              <w:t>自磋商之日起</w:t>
            </w:r>
            <w:r>
              <w:rPr>
                <w:rFonts w:hint="eastAsia" w:ascii="Times New Roman" w:hAnsi="Times New Roman" w:cs="Times New Roman"/>
                <w:color w:val="auto"/>
                <w:highlight w:val="none"/>
                <w:u w:val="single"/>
                <w:lang w:val="en-US" w:eastAsia="zh-CN"/>
              </w:rPr>
              <w:t xml:space="preserve"> 90 </w:t>
            </w:r>
            <w:r>
              <w:rPr>
                <w:rFonts w:hint="eastAsia" w:ascii="Times New Roman" w:hAnsi="Times New Roman" w:cs="Times New Roman"/>
                <w:color w:val="auto"/>
                <w:highlight w:val="none"/>
              </w:rPr>
              <w:t>天</w:t>
            </w:r>
          </w:p>
        </w:tc>
      </w:tr>
      <w:tr w14:paraId="24CA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23" w:type="pct"/>
            <w:tcBorders>
              <w:bottom w:val="single" w:color="auto" w:sz="4" w:space="0"/>
            </w:tcBorders>
            <w:noWrap w:val="0"/>
            <w:vAlign w:val="center"/>
          </w:tcPr>
          <w:p w14:paraId="36C44628">
            <w:pPr>
              <w:bidi w:val="0"/>
              <w:ind w:left="0" w:leftChars="0" w:firstLine="0" w:firstLineChars="0"/>
              <w:jc w:val="center"/>
              <w:rPr>
                <w:rFonts w:hint="default" w:ascii="Times New Roman" w:hAnsi="Times New Roman" w:eastAsia="仿宋"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14</w:t>
            </w:r>
          </w:p>
        </w:tc>
        <w:tc>
          <w:tcPr>
            <w:tcW w:w="1113" w:type="pct"/>
            <w:tcBorders>
              <w:bottom w:val="single" w:color="auto" w:sz="4" w:space="0"/>
            </w:tcBorders>
            <w:noWrap w:val="0"/>
            <w:vAlign w:val="center"/>
          </w:tcPr>
          <w:p w14:paraId="2BBD3A76">
            <w:pPr>
              <w:bidi w:val="0"/>
              <w:ind w:left="0" w:leftChars="0" w:firstLine="0" w:firstLineChars="0"/>
              <w:jc w:val="center"/>
              <w:rPr>
                <w:rFonts w:hint="default" w:ascii="Times New Roman" w:hAnsi="Times New Roman" w:eastAsia="仿宋" w:cs="Times New Roman"/>
                <w:color w:val="auto"/>
                <w:highlight w:val="none"/>
                <w:lang w:val="en-US" w:eastAsia="zh-CN"/>
              </w:rPr>
            </w:pPr>
            <w:r>
              <w:rPr>
                <w:rFonts w:hint="eastAsia" w:ascii="Times New Roman" w:hAnsi="Times New Roman" w:cs="Times New Roman"/>
                <w:color w:val="auto"/>
                <w:highlight w:val="none"/>
                <w:lang w:val="en-US" w:eastAsia="zh-CN"/>
              </w:rPr>
              <w:t>磋商</w:t>
            </w:r>
            <w:r>
              <w:rPr>
                <w:rFonts w:hint="eastAsia" w:ascii="Times New Roman" w:hAnsi="Times New Roman" w:cs="Times New Roman"/>
                <w:color w:val="auto"/>
                <w:highlight w:val="none"/>
                <w:lang w:eastAsia="zh-CN"/>
              </w:rPr>
              <w:t>保证</w:t>
            </w:r>
            <w:r>
              <w:rPr>
                <w:rFonts w:hint="eastAsia" w:ascii="Times New Roman" w:hAnsi="Times New Roman" w:cs="Times New Roman"/>
                <w:color w:val="auto"/>
                <w:highlight w:val="none"/>
              </w:rPr>
              <w:t>金</w:t>
            </w:r>
          </w:p>
        </w:tc>
        <w:tc>
          <w:tcPr>
            <w:tcW w:w="3362" w:type="pct"/>
            <w:tcBorders>
              <w:bottom w:val="single" w:color="auto" w:sz="4" w:space="0"/>
            </w:tcBorders>
            <w:noWrap w:val="0"/>
            <w:vAlign w:val="center"/>
          </w:tcPr>
          <w:p w14:paraId="0DD0CE4E">
            <w:pPr>
              <w:bidi w:val="0"/>
              <w:rPr>
                <w:rFonts w:hint="default"/>
                <w:highlight w:val="none"/>
                <w:lang w:val="en-US"/>
              </w:rPr>
            </w:pPr>
            <w:r>
              <w:rPr>
                <w:rFonts w:hint="eastAsia"/>
                <w:highlight w:val="none"/>
              </w:rPr>
              <w:t xml:space="preserve">详见“第一章 </w:t>
            </w:r>
            <w:r>
              <w:rPr>
                <w:rFonts w:hint="eastAsia"/>
                <w:highlight w:val="none"/>
                <w:lang w:eastAsia="zh-CN"/>
              </w:rPr>
              <w:t>磋商公告</w:t>
            </w:r>
            <w:r>
              <w:rPr>
                <w:rFonts w:hint="eastAsia"/>
                <w:highlight w:val="none"/>
              </w:rPr>
              <w:t>”</w:t>
            </w:r>
          </w:p>
        </w:tc>
      </w:tr>
      <w:tr w14:paraId="692C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23" w:type="pct"/>
            <w:tcBorders>
              <w:bottom w:val="single" w:color="auto" w:sz="4" w:space="0"/>
            </w:tcBorders>
            <w:noWrap w:val="0"/>
            <w:vAlign w:val="center"/>
          </w:tcPr>
          <w:p w14:paraId="7B9C66DF">
            <w:pPr>
              <w:bidi w:val="0"/>
              <w:ind w:left="0" w:leftChars="0" w:firstLine="0" w:firstLineChars="0"/>
              <w:jc w:val="center"/>
              <w:rPr>
                <w:rFonts w:hint="default" w:ascii="Times New Roman" w:hAnsi="Times New Roman" w:eastAsia="仿宋"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15</w:t>
            </w:r>
          </w:p>
        </w:tc>
        <w:tc>
          <w:tcPr>
            <w:tcW w:w="1113" w:type="pct"/>
            <w:tcBorders>
              <w:bottom w:val="single" w:color="auto" w:sz="4" w:space="0"/>
            </w:tcBorders>
            <w:noWrap w:val="0"/>
            <w:vAlign w:val="center"/>
          </w:tcPr>
          <w:p w14:paraId="0B17ED7A">
            <w:pPr>
              <w:bidi w:val="0"/>
              <w:ind w:left="0" w:leftChars="0" w:firstLine="0" w:firstLineChars="0"/>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履约保证金</w:t>
            </w:r>
          </w:p>
        </w:tc>
        <w:tc>
          <w:tcPr>
            <w:tcW w:w="3362" w:type="pct"/>
            <w:tcBorders>
              <w:bottom w:val="single" w:color="auto" w:sz="4" w:space="0"/>
            </w:tcBorders>
            <w:noWrap w:val="0"/>
            <w:vAlign w:val="center"/>
          </w:tcPr>
          <w:p w14:paraId="419984E6">
            <w:pPr>
              <w:bidi w:val="0"/>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（1）金额：</w:t>
            </w:r>
            <w:r>
              <w:rPr>
                <w:rFonts w:hint="eastAsia" w:cs="仿宋_GB2312"/>
                <w:color w:val="000000" w:themeColor="text1"/>
                <w:highlight w:val="none"/>
                <w:u w:val="single"/>
                <w:lang w:val="en-US" w:eastAsia="zh-CN"/>
                <w14:textFill>
                  <w14:solidFill>
                    <w14:schemeClr w14:val="tx1"/>
                  </w14:solidFill>
                </w14:textFill>
              </w:rPr>
              <w:t>合同金额的10%</w:t>
            </w:r>
          </w:p>
          <w:p w14:paraId="50F9EF40">
            <w:pPr>
              <w:keepNext w:val="0"/>
              <w:keepLines w:val="0"/>
              <w:pageBreakBefore w:val="0"/>
              <w:widowControl/>
              <w:kinsoku/>
              <w:overflowPunct/>
              <w:topLinePunct w:val="0"/>
              <w:autoSpaceDE/>
              <w:autoSpaceDN/>
              <w:bidi w:val="0"/>
              <w:spacing w:line="400" w:lineRule="exact"/>
              <w:ind w:firstLine="480" w:firstLineChars="200"/>
              <w:jc w:val="both"/>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（2）形式：现金转账、银行保函任选其一</w:t>
            </w:r>
          </w:p>
          <w:p w14:paraId="1D8356DD">
            <w:pPr>
              <w:keepNext w:val="0"/>
              <w:keepLines w:val="0"/>
              <w:pageBreakBefore w:val="0"/>
              <w:widowControl/>
              <w:kinsoku/>
              <w:overflowPunct/>
              <w:topLinePunct w:val="0"/>
              <w:autoSpaceDE/>
              <w:autoSpaceDN/>
              <w:bidi w:val="0"/>
              <w:spacing w:line="400" w:lineRule="exact"/>
              <w:ind w:firstLine="480" w:firstLineChars="200"/>
              <w:jc w:val="both"/>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highlight w:val="none"/>
                <w14:textFill>
                  <w14:solidFill>
                    <w14:schemeClr w14:val="tx1"/>
                  </w14:solidFill>
                </w14:textFill>
              </w:rPr>
              <w:t>）缴纳时间：中标人签订合同前向</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招标人</w:t>
            </w:r>
            <w:r>
              <w:rPr>
                <w:rFonts w:hint="eastAsia" w:ascii="仿宋_GB2312" w:hAnsi="仿宋_GB2312" w:eastAsia="仿宋_GB2312" w:cs="仿宋_GB2312"/>
                <w:color w:val="000000" w:themeColor="text1"/>
                <w:highlight w:val="none"/>
                <w14:textFill>
                  <w14:solidFill>
                    <w14:schemeClr w14:val="tx1"/>
                  </w14:solidFill>
                </w14:textFill>
              </w:rPr>
              <w:t>缴纳合同履约保证金</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或提交银行履约保函原件。</w:t>
            </w:r>
          </w:p>
          <w:p w14:paraId="13BE74D5">
            <w:pPr>
              <w:keepNext w:val="0"/>
              <w:keepLines w:val="0"/>
              <w:pageBreakBefore w:val="0"/>
              <w:widowControl/>
              <w:kinsoku/>
              <w:overflowPunct/>
              <w:topLinePunct w:val="0"/>
              <w:autoSpaceDE/>
              <w:autoSpaceDN/>
              <w:bidi w:val="0"/>
              <w:spacing w:line="400" w:lineRule="exact"/>
              <w:ind w:firstLine="480" w:firstLineChars="200"/>
              <w:jc w:val="both"/>
              <w:textAlignment w:val="auto"/>
              <w:rPr>
                <w:rFonts w:hint="eastAsia" w:ascii="仿宋_GB2312" w:hAnsi="仿宋_GB2312" w:eastAsia="仿宋_GB2312" w:cs="仿宋_GB2312"/>
                <w:color w:val="000000" w:themeColor="text1"/>
                <w:szCs w:val="24"/>
                <w:highlight w:val="none"/>
                <w14:textFill>
                  <w14:solidFill>
                    <w14:schemeClr w14:val="tx1"/>
                  </w14:solidFill>
                </w14:textFill>
              </w:rPr>
            </w:pPr>
            <w:r>
              <w:rPr>
                <w:rFonts w:hint="eastAsia" w:ascii="仿宋_GB2312" w:hAnsi="仿宋_GB2312" w:eastAsia="仿宋_GB2312" w:cs="仿宋_GB2312"/>
                <w:color w:val="000000" w:themeColor="text1"/>
                <w:szCs w:val="24"/>
                <w:highlight w:val="none"/>
                <w14:textFill>
                  <w14:solidFill>
                    <w14:schemeClr w14:val="tx1"/>
                  </w14:solidFill>
                </w14:textFill>
              </w:rPr>
              <w:t>（</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Cs w:val="24"/>
                <w:highlight w:val="none"/>
                <w14:textFill>
                  <w14:solidFill>
                    <w14:schemeClr w14:val="tx1"/>
                  </w14:solidFill>
                </w14:textFill>
              </w:rPr>
              <w:t>）退还时间：</w:t>
            </w:r>
          </w:p>
          <w:p w14:paraId="7B9C39C1">
            <w:pPr>
              <w:keepNext w:val="0"/>
              <w:keepLines w:val="0"/>
              <w:pageBreakBefore w:val="0"/>
              <w:widowControl/>
              <w:kinsoku/>
              <w:overflowPunct/>
              <w:topLinePunct w:val="0"/>
              <w:autoSpaceDE/>
              <w:autoSpaceDN/>
              <w:bidi w:val="0"/>
              <w:spacing w:line="400" w:lineRule="exact"/>
              <w:ind w:firstLine="960" w:firstLineChars="400"/>
              <w:jc w:val="both"/>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cs="仿宋_GB2312"/>
                <w:color w:val="000000" w:themeColor="text1"/>
                <w:highlight w:val="none"/>
                <w:lang w:val="en-US" w:eastAsia="zh-CN"/>
                <w14:textFill>
                  <w14:solidFill>
                    <w14:schemeClr w14:val="tx1"/>
                  </w14:solidFill>
                </w14:textFill>
              </w:rPr>
              <w:t>当履约保证金采用现金转账时：</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中标人合同主要义务履行完毕，且无合同约定的违约行为后，采购人一次性无息退还。</w:t>
            </w:r>
          </w:p>
          <w:p w14:paraId="781CD8C7">
            <w:pPr>
              <w:keepNext w:val="0"/>
              <w:keepLines w:val="0"/>
              <w:pageBreakBefore w:val="0"/>
              <w:widowControl/>
              <w:kinsoku/>
              <w:overflowPunct/>
              <w:topLinePunct w:val="0"/>
              <w:autoSpaceDE/>
              <w:autoSpaceDN/>
              <w:bidi w:val="0"/>
              <w:spacing w:line="400" w:lineRule="exact"/>
              <w:ind w:firstLine="960" w:firstLineChars="400"/>
              <w:jc w:val="both"/>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cs="仿宋_GB2312"/>
                <w:color w:val="000000" w:themeColor="text1"/>
                <w:highlight w:val="none"/>
                <w:lang w:val="en-US" w:eastAsia="zh-CN"/>
                <w14:textFill>
                  <w14:solidFill>
                    <w14:schemeClr w14:val="tx1"/>
                  </w14:solidFill>
                </w14:textFill>
              </w:rPr>
              <w:t>当履约保证金采用银行保函时：</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中标人合同主要义务履行完毕，且无合同约定的违约行为后，</w:t>
            </w:r>
            <w:r>
              <w:rPr>
                <w:rFonts w:hint="eastAsia" w:ascii="仿宋_GB2312" w:hAnsi="仿宋_GB2312" w:cs="仿宋_GB2312"/>
                <w:color w:val="000000" w:themeColor="text1"/>
                <w:highlight w:val="none"/>
                <w:lang w:val="en-US" w:eastAsia="zh-CN"/>
                <w14:textFill>
                  <w14:solidFill>
                    <w14:schemeClr w14:val="tx1"/>
                  </w14:solidFill>
                </w14:textFill>
              </w:rPr>
              <w:t>采购人退还银行保函原件。若履约保函到期且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合同主要义务</w:t>
            </w:r>
            <w:r>
              <w:rPr>
                <w:rFonts w:hint="eastAsia" w:ascii="仿宋_GB2312" w:hAnsi="仿宋_GB2312" w:cs="仿宋_GB2312"/>
                <w:color w:val="000000" w:themeColor="text1"/>
                <w:highlight w:val="none"/>
                <w:lang w:val="en-US" w:eastAsia="zh-CN"/>
                <w14:textFill>
                  <w14:solidFill>
                    <w14:schemeClr w14:val="tx1"/>
                  </w14:solidFill>
                </w14:textFill>
              </w:rPr>
              <w:t>还未</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履行完毕</w:t>
            </w:r>
            <w:r>
              <w:rPr>
                <w:rFonts w:hint="eastAsia" w:ascii="仿宋_GB2312" w:hAnsi="仿宋_GB2312" w:cs="仿宋_GB2312"/>
                <w:color w:val="000000" w:themeColor="text1"/>
                <w:highlight w:val="none"/>
                <w:lang w:val="en-US" w:eastAsia="zh-CN"/>
                <w14:textFill>
                  <w14:solidFill>
                    <w14:schemeClr w14:val="tx1"/>
                  </w14:solidFill>
                </w14:textFill>
              </w:rPr>
              <w:t>，中标人应在履约保函到期前7日内重新提供有效履约保函</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w:t>
            </w:r>
          </w:p>
          <w:p w14:paraId="448DB286">
            <w:pPr>
              <w:keepNext w:val="0"/>
              <w:keepLines w:val="0"/>
              <w:pageBreakBefore w:val="0"/>
              <w:widowControl/>
              <w:kinsoku/>
              <w:overflowPunct/>
              <w:topLinePunct w:val="0"/>
              <w:autoSpaceDE/>
              <w:autoSpaceDN/>
              <w:bidi w:val="0"/>
              <w:spacing w:line="400" w:lineRule="exact"/>
              <w:ind w:firstLine="480" w:firstLineChars="200"/>
              <w:jc w:val="both"/>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highlight w:val="none"/>
                <w14:textFill>
                  <w14:solidFill>
                    <w14:schemeClr w14:val="tx1"/>
                  </w14:solidFill>
                </w14:textFill>
              </w:rPr>
              <w:t>）收款账户信息如下：</w:t>
            </w:r>
          </w:p>
          <w:p w14:paraId="6C5F1903">
            <w:pPr>
              <w:ind w:firstLine="480"/>
              <w:rPr>
                <w:rFonts w:hint="eastAsia"/>
                <w:highlight w:val="none"/>
              </w:rPr>
            </w:pPr>
            <w:r>
              <w:rPr>
                <w:rFonts w:hint="eastAsia"/>
                <w:highlight w:val="none"/>
              </w:rPr>
              <w:t>开 户 人：</w:t>
            </w:r>
            <w:r>
              <w:rPr>
                <w:rFonts w:hint="eastAsia"/>
                <w:highlight w:val="none"/>
                <w:u w:val="single"/>
              </w:rPr>
              <w:t>江西萍乡建工集团有限公司</w:t>
            </w:r>
          </w:p>
          <w:p w14:paraId="16F006C6">
            <w:pPr>
              <w:ind w:firstLine="480"/>
              <w:rPr>
                <w:rFonts w:hint="eastAsia"/>
                <w:highlight w:val="none"/>
                <w:u w:val="single"/>
              </w:rPr>
            </w:pPr>
            <w:r>
              <w:rPr>
                <w:rFonts w:hint="eastAsia"/>
                <w:highlight w:val="none"/>
              </w:rPr>
              <w:t>开 户 行：</w:t>
            </w:r>
            <w:r>
              <w:rPr>
                <w:rFonts w:hint="eastAsia"/>
                <w:highlight w:val="none"/>
                <w:u w:val="single"/>
              </w:rPr>
              <w:t>中国工商银行股份有限公司萍乡分行营业部</w:t>
            </w:r>
          </w:p>
          <w:p w14:paraId="00103CFD">
            <w:pPr>
              <w:keepNext/>
              <w:keepLines/>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outlineLvl w:val="9"/>
              <w:rPr>
                <w:rFonts w:hint="default" w:ascii="仿宋_GB2312" w:hAnsi="仿宋_GB2312" w:eastAsia="仿宋_GB2312" w:cs="Times New Roman"/>
                <w:color w:val="auto"/>
                <w:sz w:val="24"/>
                <w:szCs w:val="20"/>
                <w:highlight w:val="none"/>
                <w:lang w:val="en-US" w:eastAsia="zh-CN" w:bidi="ar-SA"/>
              </w:rPr>
            </w:pPr>
            <w:r>
              <w:rPr>
                <w:rFonts w:hint="eastAsia"/>
                <w:b w:val="0"/>
                <w:bCs w:val="0"/>
                <w:highlight w:val="none"/>
              </w:rPr>
              <w:t>账    号：</w:t>
            </w:r>
            <w:r>
              <w:rPr>
                <w:rFonts w:hint="eastAsia"/>
                <w:b w:val="0"/>
                <w:bCs w:val="0"/>
                <w:highlight w:val="none"/>
                <w:u w:val="single"/>
              </w:rPr>
              <w:t>1504 2009 0910 0026 701</w:t>
            </w:r>
          </w:p>
        </w:tc>
      </w:tr>
      <w:tr w14:paraId="7D65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23" w:type="pct"/>
            <w:tcBorders>
              <w:bottom w:val="single" w:color="auto" w:sz="4" w:space="0"/>
            </w:tcBorders>
            <w:noWrap w:val="0"/>
            <w:vAlign w:val="center"/>
          </w:tcPr>
          <w:p w14:paraId="7C5E7454">
            <w:pPr>
              <w:bidi w:val="0"/>
              <w:ind w:left="0" w:leftChars="0" w:firstLine="0" w:firstLineChars="0"/>
              <w:jc w:val="center"/>
              <w:rPr>
                <w:rFonts w:hint="eastAsia" w:ascii="Times New Roman" w:hAnsi="Times New Roman" w:eastAsia="仿宋"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16</w:t>
            </w:r>
          </w:p>
        </w:tc>
        <w:tc>
          <w:tcPr>
            <w:tcW w:w="1113" w:type="pct"/>
            <w:tcBorders>
              <w:bottom w:val="single" w:color="auto" w:sz="4" w:space="0"/>
            </w:tcBorders>
            <w:noWrap w:val="0"/>
            <w:vAlign w:val="center"/>
          </w:tcPr>
          <w:p w14:paraId="255CC8C8">
            <w:pPr>
              <w:ind w:firstLine="0" w:firstLineChars="0"/>
              <w:jc w:val="center"/>
              <w:rPr>
                <w:rFonts w:hint="eastAsia" w:ascii="Times New Roman" w:hAnsi="Times New Roman" w:cs="Times New Roman"/>
                <w:color w:val="auto"/>
                <w:highlight w:val="none"/>
              </w:rPr>
            </w:pPr>
            <w:r>
              <w:rPr>
                <w:rFonts w:hint="eastAsia" w:ascii="Times New Roman" w:hAnsi="Times New Roman"/>
                <w:highlight w:val="none"/>
              </w:rPr>
              <w:t>响应文件要求</w:t>
            </w:r>
          </w:p>
        </w:tc>
        <w:tc>
          <w:tcPr>
            <w:tcW w:w="3362" w:type="pct"/>
            <w:tcBorders>
              <w:bottom w:val="single" w:color="auto" w:sz="4" w:space="0"/>
            </w:tcBorders>
            <w:noWrap w:val="0"/>
            <w:vAlign w:val="center"/>
          </w:tcPr>
          <w:p w14:paraId="447A9C93">
            <w:pPr>
              <w:ind w:firstLine="480" w:firstLineChars="200"/>
              <w:rPr>
                <w:rFonts w:hint="eastAsia"/>
                <w:color w:val="auto"/>
                <w:kern w:val="2"/>
                <w:highlight w:val="none"/>
                <w:u w:val="none"/>
                <w:lang w:val="en-US" w:eastAsia="zh-CN"/>
              </w:rPr>
            </w:pPr>
            <w:r>
              <w:rPr>
                <w:rFonts w:hint="eastAsia"/>
                <w:color w:val="auto"/>
                <w:kern w:val="2"/>
                <w:highlight w:val="none"/>
                <w:u w:val="none"/>
                <w:lang w:val="en-US" w:eastAsia="zh-CN"/>
              </w:rPr>
              <w:t>响应文件的份数：正本1份、副本1份、电子U盘1份</w:t>
            </w:r>
          </w:p>
          <w:p w14:paraId="579BAE91">
            <w:pPr>
              <w:ind w:firstLine="480" w:firstLineChars="200"/>
              <w:rPr>
                <w:rFonts w:hint="eastAsia"/>
                <w:color w:val="auto"/>
                <w:kern w:val="2"/>
                <w:highlight w:val="none"/>
                <w:u w:val="none"/>
                <w:lang w:val="en-US" w:eastAsia="zh-CN"/>
              </w:rPr>
            </w:pPr>
            <w:r>
              <w:rPr>
                <w:rFonts w:hint="eastAsia"/>
                <w:color w:val="auto"/>
                <w:kern w:val="2"/>
                <w:highlight w:val="none"/>
                <w:u w:val="none"/>
                <w:lang w:val="en-US" w:eastAsia="zh-CN"/>
              </w:rPr>
              <w:t>注：响应文件正、副本均须胶装成册。</w:t>
            </w:r>
          </w:p>
          <w:p w14:paraId="68CF8469">
            <w:pPr>
              <w:ind w:firstLine="480" w:firstLineChars="200"/>
              <w:rPr>
                <w:rFonts w:hint="eastAsia" w:ascii="Times New Roman" w:hAnsi="Times New Roman" w:cs="Times New Roman"/>
                <w:color w:val="auto"/>
                <w:highlight w:val="none"/>
              </w:rPr>
            </w:pPr>
            <w:r>
              <w:rPr>
                <w:rFonts w:hint="eastAsia"/>
                <w:color w:val="auto"/>
                <w:kern w:val="2"/>
                <w:highlight w:val="none"/>
                <w:u w:val="none"/>
                <w:lang w:val="en-US" w:eastAsia="zh-CN"/>
              </w:rPr>
              <w:t>供应商应将响应文件正本、副本密封装在密封袋中，且在密封袋上标明“正本”“副本”字样。</w:t>
            </w:r>
          </w:p>
        </w:tc>
      </w:tr>
      <w:tr w14:paraId="5F8D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23" w:type="pct"/>
            <w:tcBorders>
              <w:bottom w:val="single" w:color="auto" w:sz="4" w:space="0"/>
            </w:tcBorders>
            <w:noWrap w:val="0"/>
            <w:vAlign w:val="center"/>
          </w:tcPr>
          <w:p w14:paraId="430368A0">
            <w:pPr>
              <w:bidi w:val="0"/>
              <w:ind w:left="0" w:leftChars="0" w:firstLine="0" w:firstLineChars="0"/>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17</w:t>
            </w:r>
          </w:p>
        </w:tc>
        <w:tc>
          <w:tcPr>
            <w:tcW w:w="1113" w:type="pct"/>
            <w:tcBorders>
              <w:bottom w:val="single" w:color="auto" w:sz="4" w:space="0"/>
            </w:tcBorders>
            <w:noWrap w:val="0"/>
            <w:vAlign w:val="center"/>
          </w:tcPr>
          <w:p w14:paraId="004A41EF">
            <w:pPr>
              <w:ind w:firstLine="0" w:firstLineChars="0"/>
              <w:jc w:val="center"/>
              <w:rPr>
                <w:rFonts w:hint="default" w:ascii="Times New Roman" w:hAnsi="Times New Roman" w:eastAsia="仿宋" w:cs="Times New Roman"/>
                <w:color w:val="auto"/>
                <w:highlight w:val="none"/>
                <w:lang w:val="en-US" w:eastAsia="zh-CN"/>
              </w:rPr>
            </w:pPr>
            <w:r>
              <w:rPr>
                <w:rFonts w:hint="eastAsia" w:ascii="Times New Roman" w:hAnsi="Times New Roman"/>
                <w:highlight w:val="none"/>
              </w:rPr>
              <w:t>响应文件签字或盖章要求</w:t>
            </w:r>
          </w:p>
        </w:tc>
        <w:tc>
          <w:tcPr>
            <w:tcW w:w="3362" w:type="pct"/>
            <w:tcBorders>
              <w:bottom w:val="single" w:color="auto" w:sz="4" w:space="0"/>
            </w:tcBorders>
            <w:noWrap w:val="0"/>
            <w:vAlign w:val="center"/>
          </w:tcPr>
          <w:p w14:paraId="1B915286">
            <w:pPr>
              <w:ind w:firstLine="480" w:firstLineChars="200"/>
              <w:rPr>
                <w:rFonts w:hint="eastAsia"/>
                <w:b/>
                <w:bCs/>
                <w:szCs w:val="24"/>
                <w:highlight w:val="none"/>
              </w:rPr>
            </w:pPr>
            <w:r>
              <w:rPr>
                <w:rFonts w:hint="eastAsia"/>
                <w:szCs w:val="24"/>
                <w:highlight w:val="none"/>
                <w:lang w:eastAsia="zh-CN"/>
              </w:rPr>
              <w:t>响应文件</w:t>
            </w:r>
            <w:r>
              <w:rPr>
                <w:rFonts w:hint="eastAsia"/>
                <w:szCs w:val="24"/>
                <w:highlight w:val="none"/>
              </w:rPr>
              <w:t>中需盖</w:t>
            </w:r>
            <w:r>
              <w:rPr>
                <w:rFonts w:hint="eastAsia"/>
                <w:szCs w:val="24"/>
                <w:highlight w:val="none"/>
                <w:lang w:val="en-US" w:eastAsia="zh-CN"/>
              </w:rPr>
              <w:t>供应商</w:t>
            </w:r>
            <w:r>
              <w:rPr>
                <w:rFonts w:hint="eastAsia"/>
                <w:szCs w:val="24"/>
                <w:highlight w:val="none"/>
              </w:rPr>
              <w:t>公章的地方均需加盖</w:t>
            </w:r>
            <w:r>
              <w:rPr>
                <w:rFonts w:hint="eastAsia"/>
                <w:szCs w:val="24"/>
                <w:highlight w:val="none"/>
                <w:lang w:val="en-US" w:eastAsia="zh-CN"/>
              </w:rPr>
              <w:t>供应商</w:t>
            </w:r>
            <w:r>
              <w:rPr>
                <w:rFonts w:hint="eastAsia"/>
                <w:szCs w:val="24"/>
                <w:highlight w:val="none"/>
              </w:rPr>
              <w:t>全称的公章，</w:t>
            </w:r>
            <w:r>
              <w:rPr>
                <w:rFonts w:hint="eastAsia"/>
                <w:szCs w:val="24"/>
                <w:highlight w:val="none"/>
                <w:lang w:val="en-US" w:eastAsia="zh-CN"/>
              </w:rPr>
              <w:t>也可以</w:t>
            </w:r>
            <w:r>
              <w:rPr>
                <w:rFonts w:hint="eastAsia"/>
                <w:szCs w:val="24"/>
                <w:highlight w:val="none"/>
              </w:rPr>
              <w:t>投标专用章等类似图章代替，</w:t>
            </w:r>
            <w:r>
              <w:rPr>
                <w:rFonts w:hint="eastAsia"/>
                <w:szCs w:val="24"/>
                <w:highlight w:val="none"/>
                <w:lang w:eastAsia="zh-CN"/>
              </w:rPr>
              <w:t>响应文件</w:t>
            </w:r>
            <w:r>
              <w:rPr>
                <w:rFonts w:hint="eastAsia"/>
                <w:szCs w:val="24"/>
                <w:highlight w:val="none"/>
              </w:rPr>
              <w:t>中需签字的地方需法定代表人或其授权代表手写签字或电子签章，否则作无效投标处理。</w:t>
            </w:r>
          </w:p>
          <w:p w14:paraId="3DB32772">
            <w:pPr>
              <w:ind w:firstLine="480" w:firstLineChars="200"/>
              <w:rPr>
                <w:rFonts w:hint="eastAsia"/>
                <w:szCs w:val="24"/>
                <w:highlight w:val="none"/>
              </w:rPr>
            </w:pPr>
            <w:r>
              <w:rPr>
                <w:rFonts w:hint="eastAsia"/>
                <w:b/>
                <w:bCs/>
                <w:szCs w:val="24"/>
                <w:highlight w:val="none"/>
              </w:rPr>
              <w:t>法定代表人章为“法定代表人名称”或“法定代表人名称+印”或“法定代表人名称+之印”的均符合招标文件要求。</w:t>
            </w:r>
          </w:p>
        </w:tc>
      </w:tr>
      <w:tr w14:paraId="5BE4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23" w:type="pct"/>
            <w:tcBorders>
              <w:bottom w:val="single" w:color="auto" w:sz="4" w:space="0"/>
            </w:tcBorders>
            <w:noWrap w:val="0"/>
            <w:vAlign w:val="center"/>
          </w:tcPr>
          <w:p w14:paraId="33FF8B1A">
            <w:pPr>
              <w:ind w:firstLine="0" w:firstLineChars="0"/>
              <w:jc w:val="center"/>
              <w:rPr>
                <w:rFonts w:hint="default" w:ascii="Times New Roman" w:hAnsi="Times New Roman" w:cs="Times New Roman"/>
                <w:color w:val="auto"/>
                <w:highlight w:val="none"/>
                <w:lang w:val="en-US" w:eastAsia="zh-CN"/>
              </w:rPr>
            </w:pPr>
            <w:r>
              <w:rPr>
                <w:rFonts w:hint="eastAsia" w:ascii="Times New Roman" w:hAnsi="Times New Roman"/>
                <w:highlight w:val="none"/>
              </w:rPr>
              <w:t>18</w:t>
            </w:r>
          </w:p>
        </w:tc>
        <w:tc>
          <w:tcPr>
            <w:tcW w:w="1113" w:type="pct"/>
            <w:tcBorders>
              <w:bottom w:val="single" w:color="auto" w:sz="4" w:space="0"/>
            </w:tcBorders>
            <w:noWrap w:val="0"/>
            <w:vAlign w:val="center"/>
          </w:tcPr>
          <w:p w14:paraId="396ADB6C">
            <w:pPr>
              <w:ind w:firstLine="0" w:firstLineChars="0"/>
              <w:jc w:val="center"/>
              <w:rPr>
                <w:rFonts w:hint="default" w:ascii="Times New Roman" w:hAnsi="Times New Roman" w:cs="Times New Roman"/>
                <w:color w:val="auto"/>
                <w:highlight w:val="none"/>
                <w:lang w:val="en-US" w:eastAsia="zh-CN"/>
              </w:rPr>
            </w:pPr>
            <w:r>
              <w:rPr>
                <w:rFonts w:hint="eastAsia" w:ascii="Times New Roman" w:hAnsi="Times New Roman"/>
                <w:highlight w:val="none"/>
              </w:rPr>
              <w:t>响应文件递交时间及地点</w:t>
            </w:r>
          </w:p>
        </w:tc>
        <w:tc>
          <w:tcPr>
            <w:tcW w:w="3362" w:type="pct"/>
            <w:tcBorders>
              <w:bottom w:val="single" w:color="auto" w:sz="4" w:space="0"/>
            </w:tcBorders>
            <w:noWrap w:val="0"/>
            <w:vAlign w:val="center"/>
          </w:tcPr>
          <w:p w14:paraId="7710393A">
            <w:pPr>
              <w:ind w:firstLine="0" w:firstLineChars="0"/>
              <w:rPr>
                <w:rFonts w:hint="eastAsia"/>
                <w:highlight w:val="none"/>
              </w:rPr>
            </w:pPr>
            <w:r>
              <w:rPr>
                <w:rFonts w:hint="eastAsia" w:ascii="Times New Roman" w:hAnsi="Times New Roman"/>
                <w:highlight w:val="none"/>
              </w:rPr>
              <w:t xml:space="preserve">详见“第一章 </w:t>
            </w:r>
            <w:r>
              <w:rPr>
                <w:rFonts w:hint="eastAsia" w:ascii="Times New Roman" w:hAnsi="Times New Roman"/>
                <w:highlight w:val="none"/>
                <w:lang w:eastAsia="zh-CN"/>
              </w:rPr>
              <w:t>磋商</w:t>
            </w:r>
            <w:r>
              <w:rPr>
                <w:rFonts w:hint="eastAsia" w:ascii="Times New Roman" w:hAnsi="Times New Roman"/>
                <w:highlight w:val="none"/>
              </w:rPr>
              <w:t>邀请”</w:t>
            </w:r>
          </w:p>
        </w:tc>
      </w:tr>
      <w:tr w14:paraId="1392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23" w:type="pct"/>
            <w:noWrap w:val="0"/>
            <w:vAlign w:val="center"/>
          </w:tcPr>
          <w:p w14:paraId="28432516">
            <w:pPr>
              <w:ind w:firstLine="0" w:firstLineChars="0"/>
              <w:jc w:val="center"/>
              <w:rPr>
                <w:rFonts w:hint="default" w:ascii="Times New Roman" w:hAnsi="Times New Roman" w:eastAsia="仿宋" w:cs="Times New Roman"/>
                <w:color w:val="auto"/>
                <w:kern w:val="2"/>
                <w:sz w:val="24"/>
                <w:highlight w:val="none"/>
                <w:lang w:val="en-US" w:eastAsia="zh-CN" w:bidi="ar-SA"/>
              </w:rPr>
            </w:pPr>
            <w:r>
              <w:rPr>
                <w:rFonts w:hint="eastAsia" w:ascii="Times New Roman" w:hAnsi="Times New Roman"/>
                <w:highlight w:val="none"/>
              </w:rPr>
              <w:t>19</w:t>
            </w:r>
          </w:p>
        </w:tc>
        <w:tc>
          <w:tcPr>
            <w:tcW w:w="1113" w:type="pct"/>
            <w:noWrap w:val="0"/>
            <w:vAlign w:val="center"/>
          </w:tcPr>
          <w:p w14:paraId="4862EBB5">
            <w:pPr>
              <w:bidi w:val="0"/>
              <w:ind w:left="0" w:leftChars="0" w:firstLine="0" w:firstLineChars="0"/>
              <w:jc w:val="center"/>
              <w:rPr>
                <w:rFonts w:hint="default" w:ascii="Times New Roman" w:hAnsi="Times New Roman" w:eastAsia="仿宋" w:cs="Times New Roman"/>
                <w:color w:val="auto"/>
                <w:highlight w:val="none"/>
                <w:lang w:val="en-US" w:eastAsia="zh-CN"/>
              </w:rPr>
            </w:pPr>
            <w:r>
              <w:rPr>
                <w:rFonts w:hint="eastAsia" w:ascii="Times New Roman" w:hAnsi="Times New Roman" w:cs="Times New Roman"/>
                <w:color w:val="auto"/>
                <w:highlight w:val="none"/>
                <w:lang w:val="en-US" w:eastAsia="zh-CN"/>
              </w:rPr>
              <w:t>评标办法</w:t>
            </w:r>
          </w:p>
        </w:tc>
        <w:tc>
          <w:tcPr>
            <w:tcW w:w="3362" w:type="pct"/>
            <w:noWrap w:val="0"/>
            <w:vAlign w:val="center"/>
          </w:tcPr>
          <w:p w14:paraId="7166F8B2">
            <w:pPr>
              <w:bidi w:val="0"/>
              <w:ind w:left="0" w:leftChars="0" w:firstLine="0" w:firstLineChars="0"/>
              <w:rPr>
                <w:rFonts w:hint="eastAsia" w:eastAsia="仿宋_GB2312"/>
                <w:highlight w:val="none"/>
                <w:lang w:eastAsia="zh-CN"/>
              </w:rPr>
            </w:pPr>
            <w:r>
              <w:rPr>
                <w:rFonts w:hint="eastAsia"/>
                <w:highlight w:val="none"/>
                <w:lang w:val="en-US" w:eastAsia="zh-CN"/>
              </w:rPr>
              <w:t>综合评估法，具体评审标准</w:t>
            </w:r>
            <w:r>
              <w:rPr>
                <w:rFonts w:hint="eastAsia"/>
                <w:highlight w:val="none"/>
              </w:rPr>
              <w:t>详见“第</w:t>
            </w:r>
            <w:r>
              <w:rPr>
                <w:rFonts w:hint="eastAsia"/>
                <w:highlight w:val="none"/>
                <w:lang w:val="en-US" w:eastAsia="zh-CN"/>
              </w:rPr>
              <w:t>五</w:t>
            </w:r>
            <w:r>
              <w:rPr>
                <w:rFonts w:hint="eastAsia"/>
                <w:highlight w:val="none"/>
              </w:rPr>
              <w:t>章评审</w:t>
            </w:r>
            <w:r>
              <w:rPr>
                <w:rFonts w:hint="eastAsia"/>
                <w:highlight w:val="none"/>
                <w:lang w:val="en-US" w:eastAsia="zh-CN"/>
              </w:rPr>
              <w:t>标准</w:t>
            </w:r>
            <w:r>
              <w:rPr>
                <w:rFonts w:hint="eastAsia"/>
                <w:highlight w:val="none"/>
              </w:rPr>
              <w:t>”</w:t>
            </w:r>
            <w:r>
              <w:rPr>
                <w:rFonts w:hint="eastAsia"/>
                <w:highlight w:val="none"/>
                <w:lang w:eastAsia="zh-CN"/>
              </w:rPr>
              <w:t>。</w:t>
            </w:r>
          </w:p>
        </w:tc>
      </w:tr>
      <w:tr w14:paraId="3573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23" w:type="pct"/>
            <w:noWrap w:val="0"/>
            <w:vAlign w:val="center"/>
          </w:tcPr>
          <w:p w14:paraId="3D54D52C">
            <w:pPr>
              <w:bidi w:val="0"/>
              <w:ind w:left="0" w:leftChars="0" w:firstLine="0" w:firstLineChars="0"/>
              <w:jc w:val="center"/>
              <w:rPr>
                <w:rFonts w:hint="eastAsia" w:ascii="Times New Roman" w:hAnsi="Times New Roman"/>
                <w:highlight w:val="none"/>
              </w:rPr>
            </w:pPr>
            <w:r>
              <w:rPr>
                <w:rFonts w:hint="eastAsia" w:ascii="Times New Roman" w:hAnsi="Times New Roman" w:cs="Times New Roman"/>
                <w:color w:val="auto"/>
                <w:highlight w:val="none"/>
                <w:lang w:val="en-US" w:eastAsia="zh-CN"/>
              </w:rPr>
              <w:t>20</w:t>
            </w:r>
          </w:p>
        </w:tc>
        <w:tc>
          <w:tcPr>
            <w:tcW w:w="1113" w:type="pct"/>
            <w:noWrap w:val="0"/>
            <w:vAlign w:val="center"/>
          </w:tcPr>
          <w:p w14:paraId="393DE4E0">
            <w:pPr>
              <w:ind w:firstLine="0" w:firstLineChars="0"/>
              <w:jc w:val="center"/>
              <w:rPr>
                <w:rFonts w:hint="eastAsia" w:cs="Times New Roman"/>
                <w:szCs w:val="24"/>
                <w:highlight w:val="none"/>
                <w:lang w:val="en-US" w:eastAsia="zh-CN"/>
              </w:rPr>
            </w:pPr>
            <w:r>
              <w:rPr>
                <w:rFonts w:hint="eastAsia" w:cs="Times New Roman"/>
                <w:szCs w:val="24"/>
                <w:highlight w:val="none"/>
                <w:lang w:val="en-US" w:eastAsia="zh-CN"/>
              </w:rPr>
              <w:t>磋商程序</w:t>
            </w:r>
          </w:p>
          <w:p w14:paraId="62259A96">
            <w:pPr>
              <w:ind w:firstLine="0" w:firstLineChars="0"/>
              <w:jc w:val="center"/>
              <w:rPr>
                <w:rFonts w:hint="eastAsia" w:cs="Times New Roman"/>
                <w:szCs w:val="24"/>
                <w:highlight w:val="none"/>
                <w:lang w:eastAsia="zh-CN"/>
              </w:rPr>
            </w:pPr>
            <w:r>
              <w:rPr>
                <w:rFonts w:hint="eastAsia" w:cs="Times New Roman"/>
                <w:szCs w:val="24"/>
                <w:highlight w:val="none"/>
                <w:lang w:val="en-US" w:eastAsia="zh-CN"/>
              </w:rPr>
              <w:t>报价方式</w:t>
            </w:r>
          </w:p>
        </w:tc>
        <w:tc>
          <w:tcPr>
            <w:tcW w:w="3362" w:type="pct"/>
            <w:noWrap w:val="0"/>
            <w:vAlign w:val="top"/>
          </w:tcPr>
          <w:p w14:paraId="5FC6FCCF">
            <w:pPr>
              <w:ind w:firstLine="0" w:firstLineChars="0"/>
              <w:rPr>
                <w:rFonts w:hint="eastAsia"/>
                <w:szCs w:val="24"/>
                <w:highlight w:val="none"/>
              </w:rPr>
            </w:pPr>
            <w:r>
              <w:rPr>
                <w:rFonts w:hint="eastAsia"/>
                <w:szCs w:val="24"/>
                <w:highlight w:val="none"/>
                <w:lang w:val="en-US" w:eastAsia="zh-CN"/>
              </w:rPr>
              <w:t>1.</w:t>
            </w:r>
            <w:r>
              <w:rPr>
                <w:rFonts w:hint="eastAsia"/>
                <w:szCs w:val="24"/>
                <w:highlight w:val="none"/>
              </w:rPr>
              <w:t xml:space="preserve">磋商小组所有成员按照递交响应文件时间的顺序，集中与单一供应商分别进行磋商，并给予所有参加磋商的供应商平等的磋商机会。 </w:t>
            </w:r>
          </w:p>
          <w:p w14:paraId="4D9BFDF0">
            <w:pPr>
              <w:ind w:firstLine="0" w:firstLineChars="0"/>
              <w:rPr>
                <w:rFonts w:hint="eastAsia"/>
                <w:szCs w:val="24"/>
                <w:highlight w:val="none"/>
              </w:rPr>
            </w:pPr>
            <w:r>
              <w:rPr>
                <w:rFonts w:hint="eastAsia"/>
                <w:szCs w:val="24"/>
                <w:highlight w:val="none"/>
              </w:rPr>
              <w:t xml:space="preserve">在磋商过程中，磋商小组可以根据磋商文件和磋商情况实质性变动标注※号的条款，但不得变动磋商文件中的其他内容。实质性变动的内容，须经采购人代表确认。 </w:t>
            </w:r>
          </w:p>
          <w:p w14:paraId="560AFE7C">
            <w:pPr>
              <w:ind w:firstLine="0" w:firstLineChars="0"/>
              <w:rPr>
                <w:rFonts w:hint="eastAsia"/>
                <w:szCs w:val="24"/>
                <w:highlight w:val="none"/>
              </w:rPr>
            </w:pPr>
            <w:r>
              <w:rPr>
                <w:rFonts w:hint="eastAsia"/>
                <w:szCs w:val="24"/>
                <w:highlight w:val="none"/>
              </w:rPr>
              <w:t xml:space="preserve">（1）对磋商文件作出的实质性变动是磋商文件的有效组成部分，磋商小组应当及时以书面形式同时通知所有参加磋商的供应商。 </w:t>
            </w:r>
          </w:p>
          <w:p w14:paraId="66D21F07">
            <w:pPr>
              <w:ind w:firstLine="0" w:firstLineChars="0"/>
              <w:rPr>
                <w:rFonts w:hint="eastAsia" w:cs="Times New Roman"/>
                <w:szCs w:val="24"/>
                <w:highlight w:val="none"/>
                <w:lang w:val="en-US" w:eastAsia="zh-CN"/>
              </w:rPr>
            </w:pPr>
            <w:r>
              <w:rPr>
                <w:rFonts w:hint="eastAsia"/>
                <w:szCs w:val="24"/>
                <w:highlight w:val="none"/>
              </w:rPr>
              <w:t>（2）供应商应当按照磋商采购文件的变动情况和磋商采购小组的要求重新提交磋商采购响应文件，并由其法定代表人或授权代表签字或者加盖公章。由授权代表签字的，应当附法定代表人授权书。供应商为自然人的，应当由本人签字并附身份证明。</w:t>
            </w:r>
          </w:p>
          <w:p w14:paraId="127D5A80">
            <w:pPr>
              <w:ind w:firstLine="0" w:firstLineChars="0"/>
              <w:rPr>
                <w:rFonts w:hint="eastAsia" w:cs="Times New Roman"/>
                <w:szCs w:val="24"/>
                <w:highlight w:val="none"/>
                <w:lang w:val="en-US" w:eastAsia="zh-CN"/>
              </w:rPr>
            </w:pPr>
            <w:r>
              <w:rPr>
                <w:rFonts w:hint="eastAsia" w:cs="Times New Roman"/>
                <w:szCs w:val="24"/>
                <w:highlight w:val="none"/>
                <w:lang w:val="en-US" w:eastAsia="zh-CN"/>
              </w:rPr>
              <w:t>2.多轮报价</w:t>
            </w:r>
          </w:p>
          <w:p w14:paraId="6C486097">
            <w:pPr>
              <w:ind w:firstLine="0" w:firstLineChars="0"/>
              <w:rPr>
                <w:rFonts w:hint="eastAsia" w:cs="Times New Roman"/>
                <w:szCs w:val="24"/>
                <w:highlight w:val="none"/>
                <w:lang w:val="en-US" w:eastAsia="zh-CN"/>
              </w:rPr>
            </w:pPr>
            <w:r>
              <w:rPr>
                <w:rFonts w:hint="eastAsia" w:cs="Times New Roman"/>
                <w:szCs w:val="24"/>
                <w:highlight w:val="none"/>
                <w:lang w:val="en-US" w:eastAsia="zh-CN"/>
              </w:rPr>
              <w:t>（1）磋商结束后，磋商小组要求所有继续参加磋商的供应商在规定时间内提交最后报价，</w:t>
            </w:r>
            <w:r>
              <w:rPr>
                <w:rFonts w:hint="eastAsia" w:cs="Times New Roman"/>
                <w:b/>
                <w:bCs/>
                <w:szCs w:val="24"/>
                <w:highlight w:val="none"/>
                <w:lang w:val="en-US" w:eastAsia="zh-CN"/>
              </w:rPr>
              <w:t>提交最后报价的供应商不得少于2家。</w:t>
            </w:r>
          </w:p>
          <w:p w14:paraId="4A8C2D4E">
            <w:pPr>
              <w:ind w:firstLine="0" w:firstLineChars="0"/>
              <w:rPr>
                <w:rFonts w:hint="eastAsia" w:cs="Times New Roman"/>
                <w:szCs w:val="24"/>
                <w:highlight w:val="none"/>
                <w:lang w:val="en-US" w:eastAsia="zh-CN"/>
              </w:rPr>
            </w:pPr>
            <w:r>
              <w:rPr>
                <w:rFonts w:hint="eastAsia" w:cs="Times New Roman"/>
                <w:szCs w:val="24"/>
                <w:highlight w:val="none"/>
                <w:lang w:val="en-US" w:eastAsia="zh-CN"/>
              </w:rPr>
              <w:t>（2）最后报价是供应商响应文件的有效组成部分。</w:t>
            </w:r>
          </w:p>
          <w:p w14:paraId="626196E9">
            <w:pPr>
              <w:ind w:firstLine="0" w:firstLineChars="0"/>
              <w:rPr>
                <w:rFonts w:hint="eastAsia" w:cs="Times New Roman"/>
                <w:szCs w:val="24"/>
                <w:highlight w:val="none"/>
                <w:lang w:val="en-US" w:eastAsia="zh-CN"/>
              </w:rPr>
            </w:pPr>
            <w:r>
              <w:rPr>
                <w:rFonts w:hint="eastAsia" w:cs="Times New Roman"/>
                <w:szCs w:val="24"/>
                <w:highlight w:val="none"/>
                <w:lang w:val="en-US" w:eastAsia="zh-CN"/>
              </w:rPr>
              <w:t>（3）最后报价如未作分项报价的，其分项报价则按总价的降价幅度同比例下降计算。</w:t>
            </w:r>
          </w:p>
          <w:p w14:paraId="7BF8147C">
            <w:pPr>
              <w:ind w:firstLine="0" w:firstLineChars="0"/>
              <w:rPr>
                <w:rFonts w:hint="eastAsia" w:cs="Times New Roman"/>
                <w:szCs w:val="24"/>
                <w:highlight w:val="none"/>
                <w:lang w:val="en-US" w:eastAsia="zh-CN"/>
              </w:rPr>
            </w:pPr>
            <w:r>
              <w:rPr>
                <w:rFonts w:hint="eastAsia" w:cs="Times New Roman"/>
                <w:szCs w:val="24"/>
                <w:highlight w:val="none"/>
                <w:lang w:val="en-US" w:eastAsia="zh-CN"/>
              </w:rPr>
              <w:t>（4）未对采购文件服务（技术）要求、商务作实质性修改或者对服务（技术）要求、商务作出实质性修改，但没有提高采购要求，最后报价(含分项报价)不得高于上一轮报价；否则，</w:t>
            </w:r>
            <w:r>
              <w:rPr>
                <w:rFonts w:hint="eastAsia" w:cs="Times New Roman"/>
                <w:b/>
                <w:bCs/>
                <w:szCs w:val="24"/>
                <w:highlight w:val="none"/>
                <w:lang w:val="en-US" w:eastAsia="zh-CN"/>
              </w:rPr>
              <w:t>视为以上一轮报价为准。</w:t>
            </w:r>
          </w:p>
          <w:p w14:paraId="0C9A8674">
            <w:pPr>
              <w:ind w:firstLine="0" w:firstLineChars="0"/>
              <w:rPr>
                <w:rFonts w:hint="eastAsia" w:cs="Times New Roman"/>
                <w:szCs w:val="24"/>
                <w:highlight w:val="none"/>
                <w:lang w:val="en-US" w:eastAsia="zh-CN"/>
              </w:rPr>
            </w:pPr>
            <w:r>
              <w:rPr>
                <w:rFonts w:hint="eastAsia" w:cs="Times New Roman"/>
                <w:szCs w:val="24"/>
                <w:highlight w:val="none"/>
                <w:lang w:val="en-US" w:eastAsia="zh-CN"/>
              </w:rPr>
              <w:t>（5）未在规定时间内提交最后报价或最后报价不符合采购文件要求的，</w:t>
            </w:r>
            <w:r>
              <w:rPr>
                <w:rFonts w:hint="eastAsia" w:cs="Times New Roman"/>
                <w:b/>
                <w:bCs/>
                <w:szCs w:val="24"/>
                <w:highlight w:val="none"/>
                <w:lang w:val="en-US" w:eastAsia="zh-CN"/>
              </w:rPr>
              <w:t>视为以上一轮报价为准。</w:t>
            </w:r>
          </w:p>
          <w:p w14:paraId="21CA1C6D">
            <w:pPr>
              <w:ind w:firstLine="0" w:firstLineChars="0"/>
              <w:rPr>
                <w:rFonts w:hint="eastAsia" w:cs="Times New Roman"/>
                <w:szCs w:val="24"/>
                <w:highlight w:val="none"/>
                <w:lang w:val="en-US" w:eastAsia="zh-CN"/>
              </w:rPr>
            </w:pPr>
            <w:r>
              <w:rPr>
                <w:rFonts w:hint="eastAsia" w:cs="Times New Roman"/>
                <w:szCs w:val="24"/>
                <w:highlight w:val="none"/>
                <w:lang w:val="en-US" w:eastAsia="zh-CN"/>
              </w:rPr>
              <w:t>（6）已提交响应文件的供应商，在提交最后报价之前，可以根据磋商情况退出磋商。采购人应当退还退出磋商的供应商的保证金。</w:t>
            </w:r>
          </w:p>
        </w:tc>
      </w:tr>
      <w:tr w14:paraId="6954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523" w:type="pct"/>
            <w:noWrap w:val="0"/>
            <w:vAlign w:val="center"/>
          </w:tcPr>
          <w:p w14:paraId="4CE14A7D">
            <w:pPr>
              <w:ind w:firstLine="0" w:firstLineChars="0"/>
              <w:jc w:val="center"/>
              <w:rPr>
                <w:rFonts w:hint="default" w:ascii="Times New Roman" w:hAnsi="Times New Roman" w:eastAsia="仿宋" w:cs="Times New Roman"/>
                <w:color w:val="auto"/>
                <w:kern w:val="2"/>
                <w:sz w:val="24"/>
                <w:highlight w:val="none"/>
                <w:lang w:val="en-US" w:eastAsia="zh-CN" w:bidi="ar-SA"/>
              </w:rPr>
            </w:pPr>
            <w:r>
              <w:rPr>
                <w:rFonts w:hint="eastAsia" w:ascii="Times New Roman" w:hAnsi="Times New Roman"/>
                <w:highlight w:val="none"/>
                <w:lang w:val="en-US" w:eastAsia="zh-CN"/>
              </w:rPr>
              <w:t>21</w:t>
            </w:r>
          </w:p>
        </w:tc>
        <w:tc>
          <w:tcPr>
            <w:tcW w:w="1113" w:type="pct"/>
            <w:noWrap w:val="0"/>
            <w:vAlign w:val="center"/>
          </w:tcPr>
          <w:p w14:paraId="5D88D95D">
            <w:pPr>
              <w:bidi w:val="0"/>
              <w:ind w:left="0" w:leftChars="0" w:firstLine="0" w:firstLineChars="0"/>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磋商小组</w:t>
            </w:r>
          </w:p>
        </w:tc>
        <w:tc>
          <w:tcPr>
            <w:tcW w:w="3362" w:type="pct"/>
            <w:noWrap w:val="0"/>
            <w:vAlign w:val="center"/>
          </w:tcPr>
          <w:p w14:paraId="7BFA0BF1">
            <w:pPr>
              <w:bidi w:val="0"/>
              <w:rPr>
                <w:rFonts w:hint="eastAsia" w:ascii="Times New Roman" w:hAnsi="Times New Roman" w:eastAsia="仿宋_GB2312" w:cs="Times New Roman"/>
                <w:color w:val="auto"/>
                <w:highlight w:val="none"/>
                <w:lang w:val="en-US" w:eastAsia="zh-CN"/>
              </w:rPr>
            </w:pPr>
            <w:r>
              <w:rPr>
                <w:rFonts w:hint="eastAsia"/>
                <w:color w:val="auto"/>
                <w:highlight w:val="none"/>
                <w:lang w:val="en-GB"/>
              </w:rPr>
              <w:t>评审工作由磋商小组负责</w:t>
            </w:r>
            <w:r>
              <w:rPr>
                <w:rFonts w:hint="eastAsia"/>
                <w:color w:val="auto"/>
                <w:highlight w:val="none"/>
                <w:lang w:val="en-GB" w:eastAsia="zh-CN"/>
              </w:rPr>
              <w:t>，</w:t>
            </w:r>
            <w:r>
              <w:rPr>
                <w:rFonts w:hint="eastAsia"/>
                <w:color w:val="auto"/>
                <w:highlight w:val="none"/>
                <w:lang w:val="en-US" w:eastAsia="zh-CN"/>
              </w:rPr>
              <w:t>总数</w:t>
            </w:r>
            <w:r>
              <w:rPr>
                <w:rFonts w:hint="eastAsia"/>
                <w:color w:val="auto"/>
                <w:highlight w:val="none"/>
                <w:u w:val="single"/>
              </w:rPr>
              <w:t xml:space="preserve"> </w:t>
            </w:r>
            <w:r>
              <w:rPr>
                <w:rFonts w:hint="eastAsia"/>
                <w:color w:val="auto"/>
                <w:highlight w:val="none"/>
                <w:u w:val="single"/>
                <w:lang w:val="en-US" w:eastAsia="zh-CN"/>
              </w:rPr>
              <w:t xml:space="preserve">5 </w:t>
            </w:r>
            <w:r>
              <w:rPr>
                <w:rFonts w:hint="eastAsia"/>
                <w:color w:val="auto"/>
                <w:highlight w:val="none"/>
              </w:rPr>
              <w:t>人，</w:t>
            </w:r>
            <w:r>
              <w:rPr>
                <w:rFonts w:hint="eastAsia"/>
                <w:color w:val="auto"/>
                <w:highlight w:val="none"/>
                <w:lang w:eastAsia="zh-CN"/>
              </w:rPr>
              <w:t>业主代表</w:t>
            </w:r>
            <w:r>
              <w:rPr>
                <w:rFonts w:hint="eastAsia"/>
                <w:color w:val="auto"/>
                <w:highlight w:val="none"/>
                <w:lang w:val="en-US" w:eastAsia="zh-CN"/>
              </w:rPr>
              <w:t>1人，江西萍乡建工集团</w:t>
            </w:r>
            <w:r>
              <w:rPr>
                <w:rFonts w:hint="eastAsia"/>
                <w:color w:val="auto"/>
                <w:highlight w:val="none"/>
                <w:lang w:val="en-GB"/>
              </w:rPr>
              <w:t>专家</w:t>
            </w:r>
            <w:r>
              <w:rPr>
                <w:rFonts w:hint="eastAsia"/>
                <w:color w:val="auto"/>
                <w:highlight w:val="none"/>
                <w:lang w:val="en-US" w:eastAsia="zh-CN"/>
              </w:rPr>
              <w:t>库抽取</w:t>
            </w:r>
            <w:r>
              <w:rPr>
                <w:rFonts w:hint="eastAsia"/>
                <w:color w:val="auto"/>
                <w:highlight w:val="none"/>
                <w:u w:val="single"/>
                <w:lang w:val="en-US" w:eastAsia="zh-CN"/>
              </w:rPr>
              <w:t xml:space="preserve"> 4</w:t>
            </w:r>
            <w:r>
              <w:rPr>
                <w:rFonts w:hint="eastAsia"/>
                <w:color w:val="auto"/>
                <w:highlight w:val="none"/>
                <w:lang w:val="en-GB"/>
              </w:rPr>
              <w:t>人</w:t>
            </w:r>
            <w:r>
              <w:rPr>
                <w:rFonts w:hint="eastAsia"/>
                <w:shd w:val="clear" w:color="auto" w:fill="FFFFFF"/>
              </w:rPr>
              <w:t>。</w:t>
            </w:r>
          </w:p>
        </w:tc>
      </w:tr>
      <w:tr w14:paraId="3D82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23" w:type="pct"/>
            <w:noWrap w:val="0"/>
            <w:vAlign w:val="center"/>
          </w:tcPr>
          <w:p w14:paraId="71B20B93">
            <w:pPr>
              <w:bidi w:val="0"/>
              <w:ind w:left="0" w:leftChars="0" w:firstLine="0" w:firstLineChars="0"/>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kern w:val="2"/>
                <w:sz w:val="24"/>
                <w:highlight w:val="none"/>
                <w:lang w:val="en-US" w:eastAsia="zh-CN" w:bidi="ar-SA"/>
              </w:rPr>
              <w:t>22</w:t>
            </w:r>
          </w:p>
        </w:tc>
        <w:tc>
          <w:tcPr>
            <w:tcW w:w="1113" w:type="pct"/>
            <w:noWrap w:val="0"/>
            <w:vAlign w:val="center"/>
          </w:tcPr>
          <w:p w14:paraId="4D43A604">
            <w:pPr>
              <w:bidi w:val="0"/>
              <w:ind w:left="0" w:leftChars="0" w:firstLine="0" w:firstLineChars="0"/>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解释权</w:t>
            </w:r>
          </w:p>
        </w:tc>
        <w:tc>
          <w:tcPr>
            <w:tcW w:w="3362" w:type="pct"/>
            <w:noWrap w:val="0"/>
            <w:vAlign w:val="center"/>
          </w:tcPr>
          <w:p w14:paraId="0408072D">
            <w:pPr>
              <w:bidi w:val="0"/>
              <w:ind w:left="0" w:leftChars="0" w:firstLine="480" w:firstLineChars="200"/>
              <w:jc w:val="left"/>
              <w:rPr>
                <w:rFonts w:hint="default" w:ascii="Times New Roman" w:hAnsi="Times New Roman" w:eastAsia="仿宋" w:cs="Times New Roman"/>
                <w:color w:val="auto"/>
                <w:highlight w:val="none"/>
                <w:lang w:val="en-US" w:eastAsia="zh-CN"/>
              </w:rPr>
            </w:pPr>
            <w:r>
              <w:rPr>
                <w:rFonts w:hint="eastAsia"/>
                <w:color w:val="auto"/>
                <w:highlight w:val="none"/>
                <w:u w:val="single"/>
                <w:lang w:eastAsia="zh-CN"/>
              </w:rPr>
              <w:t>江西萍乡建工集团有限公司</w:t>
            </w:r>
            <w:r>
              <w:rPr>
                <w:rFonts w:hint="eastAsia" w:ascii="Times New Roman" w:hAnsi="Times New Roman" w:cs="Times New Roman"/>
                <w:color w:val="auto"/>
                <w:highlight w:val="none"/>
                <w:lang w:val="en-US" w:eastAsia="zh-CN"/>
              </w:rPr>
              <w:t xml:space="preserve">      </w:t>
            </w:r>
          </w:p>
        </w:tc>
      </w:tr>
      <w:tr w14:paraId="092B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23" w:type="pct"/>
            <w:noWrap w:val="0"/>
            <w:vAlign w:val="center"/>
          </w:tcPr>
          <w:p w14:paraId="4BC60C44">
            <w:pPr>
              <w:bidi w:val="0"/>
              <w:ind w:left="0" w:leftChars="0" w:firstLine="0" w:firstLineChars="0"/>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23</w:t>
            </w:r>
          </w:p>
        </w:tc>
        <w:tc>
          <w:tcPr>
            <w:tcW w:w="1113" w:type="pct"/>
            <w:noWrap w:val="0"/>
            <w:vAlign w:val="center"/>
          </w:tcPr>
          <w:p w14:paraId="346AAD37">
            <w:pPr>
              <w:ind w:firstLine="0" w:firstLineChars="0"/>
              <w:jc w:val="center"/>
              <w:rPr>
                <w:rFonts w:hint="default" w:ascii="Times New Roman" w:hAnsi="Times New Roman" w:cs="Times New Roman"/>
                <w:color w:val="auto"/>
                <w:highlight w:val="none"/>
                <w:lang w:val="en-US" w:eastAsia="zh-CN"/>
              </w:rPr>
            </w:pPr>
            <w:r>
              <w:rPr>
                <w:rFonts w:hint="eastAsia" w:ascii="Times New Roman" w:hAnsi="Times New Roman"/>
                <w:highlight w:val="none"/>
              </w:rPr>
              <w:t>不良行为处理</w:t>
            </w:r>
          </w:p>
        </w:tc>
        <w:tc>
          <w:tcPr>
            <w:tcW w:w="3362" w:type="pct"/>
            <w:noWrap w:val="0"/>
            <w:vAlign w:val="center"/>
          </w:tcPr>
          <w:p w14:paraId="6C81392A">
            <w:pPr>
              <w:ind w:firstLine="480" w:firstLineChars="200"/>
              <w:rPr>
                <w:rFonts w:hint="eastAsia" w:ascii="Times New Roman" w:hAnsi="Times New Roman" w:cs="Times New Roman"/>
                <w:color w:val="auto"/>
                <w:highlight w:val="none"/>
              </w:rPr>
            </w:pPr>
            <w:r>
              <w:rPr>
                <w:rFonts w:hint="eastAsia"/>
                <w:b w:val="0"/>
                <w:bCs w:val="0"/>
                <w:highlight w:val="none"/>
              </w:rPr>
              <w:t>供应商存在不良行为的，依据《江西萍乡建工集团有限公司供应商负面行为管理实施细则（试行）》（萍建工发</w:t>
            </w:r>
            <w:r>
              <w:rPr>
                <w:rFonts w:hint="eastAsia" w:cs="仿宋_GB2312"/>
                <w:b w:val="0"/>
                <w:bCs w:val="0"/>
                <w:highlight w:val="none"/>
              </w:rPr>
              <w:t>〔2025〕12号</w:t>
            </w:r>
            <w:r>
              <w:rPr>
                <w:rFonts w:hint="eastAsia"/>
                <w:b w:val="0"/>
                <w:bCs w:val="0"/>
                <w:highlight w:val="none"/>
              </w:rPr>
              <w:t>）进行处理。</w:t>
            </w:r>
          </w:p>
        </w:tc>
      </w:tr>
      <w:tr w14:paraId="71E2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23" w:type="pct"/>
            <w:noWrap w:val="0"/>
            <w:vAlign w:val="center"/>
          </w:tcPr>
          <w:p w14:paraId="0139AE7E">
            <w:pPr>
              <w:ind w:firstLine="0" w:firstLineChars="0"/>
              <w:jc w:val="center"/>
              <w:rPr>
                <w:rFonts w:hint="eastAsia" w:ascii="Times New Roman" w:hAnsi="Times New Roman"/>
                <w:highlight w:val="none"/>
              </w:rPr>
            </w:pPr>
            <w:bookmarkStart w:id="142" w:name="_Toc505020153"/>
            <w:r>
              <w:rPr>
                <w:rFonts w:hint="eastAsia" w:ascii="Times New Roman" w:hAnsi="Times New Roman"/>
                <w:highlight w:val="none"/>
              </w:rPr>
              <w:t>2</w:t>
            </w:r>
            <w:r>
              <w:rPr>
                <w:rFonts w:hint="eastAsia" w:ascii="Times New Roman" w:hAnsi="Times New Roman"/>
                <w:highlight w:val="none"/>
                <w:lang w:val="en-US" w:eastAsia="zh-CN"/>
              </w:rPr>
              <w:t>4</w:t>
            </w:r>
          </w:p>
        </w:tc>
        <w:tc>
          <w:tcPr>
            <w:tcW w:w="1113" w:type="pct"/>
            <w:noWrap w:val="0"/>
            <w:vAlign w:val="center"/>
          </w:tcPr>
          <w:p w14:paraId="6E56FCED">
            <w:pPr>
              <w:ind w:firstLine="0" w:firstLineChars="0"/>
              <w:jc w:val="center"/>
              <w:rPr>
                <w:rFonts w:hint="eastAsia" w:ascii="Times New Roman" w:hAnsi="Times New Roman"/>
                <w:highlight w:val="none"/>
              </w:rPr>
            </w:pPr>
            <w:r>
              <w:rPr>
                <w:rFonts w:hint="eastAsia" w:hAnsi="宋体"/>
                <w:bCs/>
                <w:color w:val="auto"/>
                <w:kern w:val="2"/>
                <w:szCs w:val="24"/>
                <w:highlight w:val="none"/>
                <w:lang w:val="en-US" w:eastAsia="zh-CN"/>
              </w:rPr>
              <w:t>无效投标情形</w:t>
            </w:r>
          </w:p>
        </w:tc>
        <w:tc>
          <w:tcPr>
            <w:tcW w:w="3362" w:type="pct"/>
            <w:noWrap w:val="0"/>
            <w:vAlign w:val="center"/>
          </w:tcPr>
          <w:p w14:paraId="20EAAFFD">
            <w:pPr>
              <w:ind w:firstLine="640"/>
              <w:rPr>
                <w:rFonts w:hint="eastAsia"/>
                <w:b w:val="0"/>
                <w:bCs w:val="0"/>
                <w:color w:val="auto"/>
                <w:highlight w:val="none"/>
                <w:lang w:val="en-US" w:eastAsia="zh-CN"/>
              </w:rPr>
            </w:pPr>
            <w:r>
              <w:rPr>
                <w:rFonts w:hint="eastAsia"/>
                <w:b w:val="0"/>
                <w:bCs w:val="0"/>
                <w:color w:val="auto"/>
                <w:highlight w:val="none"/>
                <w:lang w:val="en-US" w:eastAsia="zh-CN"/>
              </w:rPr>
              <w:t>（1）参与同类项目投标的供应商，若其已在前序同类采购项目中提供符合要求的业绩证明，在后续投标过程中应当保持业绩材料的完整性和连续性。供应商存在以下情形之一，经采购人核查属实的，其响应文件视为无效投标:</w:t>
            </w:r>
          </w:p>
          <w:p w14:paraId="19550B60">
            <w:pPr>
              <w:ind w:firstLine="640"/>
              <w:rPr>
                <w:rFonts w:hint="eastAsia"/>
                <w:b w:val="0"/>
                <w:bCs w:val="0"/>
                <w:color w:val="auto"/>
                <w:highlight w:val="none"/>
                <w:lang w:val="en-US" w:eastAsia="zh-CN"/>
              </w:rPr>
            </w:pPr>
            <w:r>
              <w:rPr>
                <w:rFonts w:hint="eastAsia"/>
                <w:b w:val="0"/>
                <w:bCs w:val="0"/>
                <w:color w:val="auto"/>
                <w:highlight w:val="none"/>
                <w:lang w:val="en-US" w:eastAsia="zh-CN"/>
              </w:rPr>
              <w:t>①未按规定提交已通过核验的既有合格业绩证明;</w:t>
            </w:r>
          </w:p>
          <w:p w14:paraId="1795BFE8">
            <w:pPr>
              <w:ind w:firstLine="640"/>
              <w:rPr>
                <w:rFonts w:hint="eastAsia"/>
                <w:b w:val="0"/>
                <w:bCs w:val="0"/>
                <w:color w:val="auto"/>
                <w:highlight w:val="none"/>
                <w:lang w:val="en-US" w:eastAsia="zh-CN"/>
              </w:rPr>
            </w:pPr>
            <w:r>
              <w:rPr>
                <w:rFonts w:hint="eastAsia"/>
                <w:b w:val="0"/>
                <w:bCs w:val="0"/>
                <w:color w:val="auto"/>
                <w:highlight w:val="none"/>
                <w:lang w:val="en-US" w:eastAsia="zh-CN"/>
              </w:rPr>
              <w:t>②故意隐匿或减少已具备的有效业绩材料;</w:t>
            </w:r>
          </w:p>
          <w:p w14:paraId="04B0B038">
            <w:pPr>
              <w:ind w:firstLine="640"/>
              <w:rPr>
                <w:rFonts w:hint="eastAsia"/>
                <w:b w:val="0"/>
                <w:bCs w:val="0"/>
                <w:color w:val="auto"/>
                <w:highlight w:val="none"/>
                <w:lang w:val="en-US" w:eastAsia="zh-CN"/>
              </w:rPr>
            </w:pPr>
            <w:r>
              <w:rPr>
                <w:rFonts w:hint="eastAsia"/>
                <w:b w:val="0"/>
                <w:bCs w:val="0"/>
                <w:color w:val="auto"/>
                <w:highlight w:val="none"/>
                <w:lang w:val="en-US" w:eastAsia="zh-CN"/>
              </w:rPr>
              <w:t>③提供不实业绩信息或伪造佐证材料。</w:t>
            </w:r>
          </w:p>
          <w:p w14:paraId="0257EB55">
            <w:pPr>
              <w:ind w:firstLine="640"/>
              <w:rPr>
                <w:b w:val="0"/>
                <w:bCs w:val="0"/>
                <w:color w:val="auto"/>
                <w:highlight w:val="none"/>
              </w:rPr>
            </w:pPr>
            <w:r>
              <w:rPr>
                <w:rFonts w:hint="eastAsia"/>
                <w:b w:val="0"/>
                <w:bCs w:val="0"/>
                <w:color w:val="auto"/>
                <w:highlight w:val="none"/>
                <w:lang w:eastAsia="zh-CN"/>
              </w:rPr>
              <w:t>（</w:t>
            </w:r>
            <w:r>
              <w:rPr>
                <w:rFonts w:hint="eastAsia"/>
                <w:b w:val="0"/>
                <w:bCs w:val="0"/>
                <w:color w:val="auto"/>
                <w:highlight w:val="none"/>
                <w:lang w:val="en-US" w:eastAsia="zh-CN"/>
              </w:rPr>
              <w:t>2</w:t>
            </w:r>
            <w:r>
              <w:rPr>
                <w:rFonts w:hint="eastAsia"/>
                <w:b w:val="0"/>
                <w:bCs w:val="0"/>
                <w:color w:val="auto"/>
                <w:highlight w:val="none"/>
                <w:lang w:eastAsia="zh-CN"/>
              </w:rPr>
              <w:t>）</w:t>
            </w:r>
            <w:r>
              <w:rPr>
                <w:rFonts w:hint="eastAsia"/>
                <w:b w:val="0"/>
                <w:bCs w:val="0"/>
                <w:color w:val="auto"/>
                <w:highlight w:val="none"/>
              </w:rPr>
              <w:t>未按要求缴纳</w:t>
            </w:r>
            <w:r>
              <w:rPr>
                <w:rFonts w:hint="eastAsia"/>
                <w:b w:val="0"/>
                <w:bCs w:val="0"/>
                <w:color w:val="auto"/>
                <w:highlight w:val="none"/>
                <w:lang w:eastAsia="zh-CN"/>
              </w:rPr>
              <w:t>磋商保证金的</w:t>
            </w:r>
            <w:r>
              <w:rPr>
                <w:rFonts w:hint="eastAsia"/>
                <w:b w:val="0"/>
                <w:bCs w:val="0"/>
                <w:color w:val="auto"/>
                <w:highlight w:val="none"/>
              </w:rPr>
              <w:t>；</w:t>
            </w:r>
          </w:p>
          <w:p w14:paraId="70325611">
            <w:pPr>
              <w:ind w:firstLine="640"/>
              <w:rPr>
                <w:b w:val="0"/>
                <w:bCs w:val="0"/>
                <w:color w:val="auto"/>
                <w:highlight w:val="none"/>
              </w:rPr>
            </w:pPr>
            <w:r>
              <w:rPr>
                <w:rFonts w:hint="eastAsia"/>
                <w:b w:val="0"/>
                <w:bCs w:val="0"/>
                <w:color w:val="auto"/>
                <w:highlight w:val="none"/>
              </w:rPr>
              <w:t>（</w:t>
            </w:r>
            <w:r>
              <w:rPr>
                <w:rFonts w:hint="eastAsia"/>
                <w:b w:val="0"/>
                <w:bCs w:val="0"/>
                <w:color w:val="auto"/>
                <w:highlight w:val="none"/>
                <w:lang w:val="en-US" w:eastAsia="zh-CN"/>
              </w:rPr>
              <w:t>3</w:t>
            </w:r>
            <w:r>
              <w:rPr>
                <w:rFonts w:hint="eastAsia"/>
                <w:b w:val="0"/>
                <w:bCs w:val="0"/>
                <w:color w:val="auto"/>
                <w:highlight w:val="none"/>
              </w:rPr>
              <w:t>）未在</w:t>
            </w:r>
            <w:r>
              <w:rPr>
                <w:rFonts w:hint="eastAsia"/>
                <w:b w:val="0"/>
                <w:bCs w:val="0"/>
                <w:color w:val="auto"/>
                <w:highlight w:val="none"/>
                <w:lang w:val="en-US" w:eastAsia="zh-CN"/>
              </w:rPr>
              <w:t>投标</w:t>
            </w:r>
            <w:r>
              <w:rPr>
                <w:rFonts w:hint="eastAsia"/>
                <w:b w:val="0"/>
                <w:bCs w:val="0"/>
                <w:color w:val="auto"/>
                <w:highlight w:val="none"/>
              </w:rPr>
              <w:t>截止时间前递交</w:t>
            </w:r>
            <w:r>
              <w:rPr>
                <w:rFonts w:hint="eastAsia"/>
                <w:b w:val="0"/>
                <w:bCs w:val="0"/>
                <w:color w:val="auto"/>
                <w:highlight w:val="none"/>
                <w:lang w:eastAsia="zh-CN"/>
              </w:rPr>
              <w:t>响应文件的</w:t>
            </w:r>
            <w:r>
              <w:rPr>
                <w:rFonts w:hint="eastAsia"/>
                <w:b w:val="0"/>
                <w:bCs w:val="0"/>
                <w:color w:val="auto"/>
                <w:highlight w:val="none"/>
              </w:rPr>
              <w:t>；</w:t>
            </w:r>
          </w:p>
          <w:p w14:paraId="2A174269">
            <w:pPr>
              <w:ind w:firstLine="640"/>
              <w:rPr>
                <w:rFonts w:hint="eastAsia" w:ascii="仿宋_GB2312" w:hAnsi="仿宋_GB2312" w:cs="仿宋_GB2312"/>
                <w:b w:val="0"/>
                <w:bCs w:val="0"/>
                <w:color w:val="auto"/>
                <w:highlight w:val="none"/>
                <w:lang w:val="en-US" w:eastAsia="zh-CN"/>
              </w:rPr>
            </w:pPr>
            <w:r>
              <w:rPr>
                <w:rFonts w:hint="eastAsia"/>
                <w:b w:val="0"/>
                <w:bCs w:val="0"/>
                <w:color w:val="auto"/>
                <w:highlight w:val="none"/>
              </w:rPr>
              <w:t>（</w:t>
            </w:r>
            <w:r>
              <w:rPr>
                <w:rFonts w:hint="eastAsia"/>
                <w:b w:val="0"/>
                <w:bCs w:val="0"/>
                <w:color w:val="auto"/>
                <w:highlight w:val="none"/>
                <w:lang w:val="en-US" w:eastAsia="zh-CN"/>
              </w:rPr>
              <w:t>4</w:t>
            </w:r>
            <w:r>
              <w:rPr>
                <w:rFonts w:hint="eastAsia"/>
                <w:b w:val="0"/>
                <w:bCs w:val="0"/>
                <w:color w:val="auto"/>
                <w:highlight w:val="none"/>
              </w:rPr>
              <w:t>）</w:t>
            </w:r>
            <w:r>
              <w:rPr>
                <w:rFonts w:hint="eastAsia"/>
                <w:b w:val="0"/>
                <w:bCs w:val="0"/>
                <w:color w:val="auto"/>
                <w:highlight w:val="none"/>
                <w:lang w:val="en-US" w:eastAsia="zh-CN"/>
              </w:rPr>
              <w:t>响应文件未按磋商文件要求签字、盖章、加密的</w:t>
            </w:r>
            <w:r>
              <w:rPr>
                <w:rFonts w:hint="eastAsia" w:ascii="仿宋_GB2312" w:hAnsi="仿宋_GB2312" w:cs="仿宋_GB2312"/>
                <w:b w:val="0"/>
                <w:bCs w:val="0"/>
                <w:color w:val="auto"/>
                <w:highlight w:val="none"/>
                <w:lang w:val="en-US" w:eastAsia="zh-CN"/>
              </w:rPr>
              <w:t>；</w:t>
            </w:r>
          </w:p>
          <w:p w14:paraId="5D55FB90">
            <w:pPr>
              <w:ind w:firstLine="640"/>
              <w:rPr>
                <w:rFonts w:hint="eastAsia"/>
                <w:b w:val="0"/>
                <w:bCs w:val="0"/>
                <w:color w:val="auto"/>
                <w:highlight w:val="none"/>
              </w:rPr>
            </w:pPr>
            <w:r>
              <w:rPr>
                <w:rFonts w:hint="eastAsia"/>
                <w:b w:val="0"/>
                <w:bCs w:val="0"/>
                <w:color w:val="auto"/>
                <w:highlight w:val="none"/>
              </w:rPr>
              <w:t>（</w:t>
            </w:r>
            <w:r>
              <w:rPr>
                <w:rFonts w:hint="eastAsia"/>
                <w:b w:val="0"/>
                <w:bCs w:val="0"/>
                <w:color w:val="auto"/>
                <w:highlight w:val="none"/>
                <w:lang w:val="en-US" w:eastAsia="zh-CN"/>
              </w:rPr>
              <w:t>5</w:t>
            </w:r>
            <w:r>
              <w:rPr>
                <w:rFonts w:hint="eastAsia"/>
                <w:b w:val="0"/>
                <w:bCs w:val="0"/>
                <w:color w:val="auto"/>
                <w:highlight w:val="none"/>
              </w:rPr>
              <w:t>）</w:t>
            </w:r>
            <w:r>
              <w:rPr>
                <w:rFonts w:hint="eastAsia"/>
                <w:b w:val="0"/>
                <w:bCs w:val="0"/>
                <w:color w:val="auto"/>
                <w:highlight w:val="none"/>
                <w:lang w:eastAsia="zh-CN"/>
              </w:rPr>
              <w:t>供应商</w:t>
            </w:r>
            <w:r>
              <w:rPr>
                <w:rFonts w:hint="eastAsia"/>
                <w:b w:val="0"/>
                <w:bCs w:val="0"/>
                <w:color w:val="auto"/>
                <w:highlight w:val="none"/>
              </w:rPr>
              <w:t>资格条件不符合要求，或未按</w:t>
            </w:r>
            <w:r>
              <w:rPr>
                <w:rFonts w:hint="eastAsia"/>
                <w:b w:val="0"/>
                <w:bCs w:val="0"/>
                <w:color w:val="auto"/>
                <w:highlight w:val="none"/>
                <w:lang w:eastAsia="zh-CN"/>
              </w:rPr>
              <w:t>磋商文件</w:t>
            </w:r>
            <w:r>
              <w:rPr>
                <w:rFonts w:hint="eastAsia"/>
                <w:b w:val="0"/>
                <w:bCs w:val="0"/>
                <w:color w:val="auto"/>
                <w:highlight w:val="none"/>
              </w:rPr>
              <w:t>提供相关证明资料</w:t>
            </w:r>
            <w:r>
              <w:rPr>
                <w:rFonts w:hint="eastAsia"/>
                <w:b w:val="0"/>
                <w:bCs w:val="0"/>
                <w:color w:val="auto"/>
                <w:highlight w:val="none"/>
                <w:lang w:eastAsia="zh-CN"/>
              </w:rPr>
              <w:t>的</w:t>
            </w:r>
            <w:r>
              <w:rPr>
                <w:rFonts w:hint="eastAsia"/>
                <w:b w:val="0"/>
                <w:bCs w:val="0"/>
                <w:color w:val="auto"/>
                <w:highlight w:val="none"/>
              </w:rPr>
              <w:t>；</w:t>
            </w:r>
          </w:p>
          <w:p w14:paraId="5FE985D0">
            <w:pPr>
              <w:ind w:firstLine="640"/>
              <w:rPr>
                <w:rFonts w:hint="eastAsia"/>
                <w:b w:val="0"/>
                <w:bCs w:val="0"/>
                <w:color w:val="auto"/>
                <w:highlight w:val="none"/>
                <w:lang w:val="en-US" w:eastAsia="zh-CN"/>
              </w:rPr>
            </w:pPr>
            <w:r>
              <w:rPr>
                <w:rFonts w:hint="eastAsia"/>
                <w:b w:val="0"/>
                <w:bCs w:val="0"/>
                <w:color w:val="auto"/>
                <w:highlight w:val="none"/>
                <w:lang w:val="en-US" w:eastAsia="zh-CN"/>
              </w:rPr>
              <w:t>（6）采购人设有招标控制价的，供应商的投标报价超控制价的；</w:t>
            </w:r>
          </w:p>
          <w:p w14:paraId="0D693ED2">
            <w:pPr>
              <w:ind w:firstLine="640"/>
              <w:rPr>
                <w:rFonts w:hint="default"/>
                <w:b w:val="0"/>
                <w:bCs w:val="0"/>
                <w:color w:val="auto"/>
                <w:highlight w:val="none"/>
                <w:lang w:val="en-US" w:eastAsia="zh-CN"/>
              </w:rPr>
            </w:pPr>
            <w:r>
              <w:rPr>
                <w:rFonts w:hint="eastAsia"/>
                <w:b w:val="0"/>
                <w:bCs w:val="0"/>
                <w:color w:val="auto"/>
                <w:highlight w:val="none"/>
                <w:lang w:val="en-US" w:eastAsia="zh-CN"/>
              </w:rPr>
              <w:t>（7）响应文件附有采购人不能接受的条件；</w:t>
            </w:r>
          </w:p>
          <w:p w14:paraId="344167F7">
            <w:pPr>
              <w:ind w:firstLine="640"/>
              <w:rPr>
                <w:rFonts w:hint="default"/>
                <w:b w:val="0"/>
                <w:bCs w:val="0"/>
                <w:color w:val="auto"/>
                <w:highlight w:val="none"/>
                <w:lang w:val="en-US" w:eastAsia="zh-CN"/>
              </w:rPr>
            </w:pPr>
            <w:r>
              <w:rPr>
                <w:rFonts w:hint="eastAsia"/>
                <w:b w:val="0"/>
                <w:bCs w:val="0"/>
                <w:color w:val="auto"/>
                <w:highlight w:val="none"/>
                <w:lang w:val="en-US" w:eastAsia="zh-CN"/>
              </w:rPr>
              <w:t>（8）与采购人存在利害关系可能影响招标公正性的法人、其他组织或者个人参加投标的；</w:t>
            </w:r>
          </w:p>
          <w:p w14:paraId="51680A96">
            <w:pPr>
              <w:ind w:firstLine="640"/>
              <w:rPr>
                <w:rFonts w:hint="eastAsia"/>
                <w:b w:val="0"/>
                <w:bCs w:val="0"/>
                <w:color w:val="auto"/>
                <w:highlight w:val="none"/>
                <w:lang w:val="en-US" w:eastAsia="zh-CN"/>
              </w:rPr>
            </w:pPr>
            <w:r>
              <w:rPr>
                <w:rFonts w:hint="eastAsia"/>
                <w:b w:val="0"/>
                <w:bCs w:val="0"/>
                <w:color w:val="auto"/>
                <w:highlight w:val="none"/>
                <w:lang w:val="en-US" w:eastAsia="zh-CN"/>
              </w:rPr>
              <w:t>（9）单位负责人为同一人或者存在控股、管理关系的不同单位，参加同一标段投标的或者未划分标段的同一招标项目投标的；</w:t>
            </w:r>
          </w:p>
          <w:p w14:paraId="63C45C0F">
            <w:pPr>
              <w:ind w:firstLine="640"/>
              <w:rPr>
                <w:rFonts w:hint="default"/>
                <w:b w:val="0"/>
                <w:bCs w:val="0"/>
                <w:color w:val="auto"/>
                <w:highlight w:val="none"/>
                <w:lang w:val="en-US" w:eastAsia="zh-CN"/>
              </w:rPr>
            </w:pPr>
            <w:r>
              <w:rPr>
                <w:rFonts w:hint="eastAsia"/>
                <w:b w:val="0"/>
                <w:bCs w:val="0"/>
                <w:color w:val="auto"/>
                <w:highlight w:val="none"/>
                <w:lang w:val="en-US" w:eastAsia="zh-CN"/>
              </w:rPr>
              <w:t>（10）已被列为江西萍乡建工集团有限公司“黑名单”管理或处于暂停投标资格期间的；</w:t>
            </w:r>
          </w:p>
          <w:p w14:paraId="7A7A1218">
            <w:pPr>
              <w:ind w:firstLine="640"/>
              <w:rPr>
                <w:rFonts w:hint="eastAsia"/>
                <w:b w:val="0"/>
                <w:bCs w:val="0"/>
                <w:color w:val="auto"/>
                <w:highlight w:val="none"/>
                <w:lang w:val="en-US" w:eastAsia="zh-CN"/>
              </w:rPr>
            </w:pPr>
            <w:r>
              <w:rPr>
                <w:rFonts w:hint="eastAsia"/>
                <w:b w:val="0"/>
                <w:bCs w:val="0"/>
                <w:color w:val="auto"/>
                <w:highlight w:val="none"/>
                <w:lang w:val="en-US" w:eastAsia="zh-CN"/>
              </w:rPr>
              <w:t>（11）被责令停业或解散；</w:t>
            </w:r>
          </w:p>
          <w:p w14:paraId="0D3DED0A">
            <w:pPr>
              <w:ind w:firstLine="640"/>
              <w:rPr>
                <w:rFonts w:hint="eastAsia"/>
                <w:b w:val="0"/>
                <w:bCs w:val="0"/>
                <w:color w:val="auto"/>
                <w:highlight w:val="none"/>
                <w:lang w:val="en-US" w:eastAsia="zh-CN"/>
              </w:rPr>
            </w:pPr>
            <w:r>
              <w:rPr>
                <w:rFonts w:hint="eastAsia"/>
                <w:b w:val="0"/>
                <w:bCs w:val="0"/>
                <w:color w:val="auto"/>
                <w:highlight w:val="none"/>
                <w:lang w:val="en-US" w:eastAsia="zh-CN"/>
              </w:rPr>
              <w:t>（12）财产被接管或冻结等重大财务风险；</w:t>
            </w:r>
          </w:p>
          <w:p w14:paraId="76F3DA1F">
            <w:pPr>
              <w:ind w:firstLine="640"/>
              <w:rPr>
                <w:rFonts w:hint="eastAsia"/>
                <w:b w:val="0"/>
                <w:bCs w:val="0"/>
                <w:color w:val="auto"/>
                <w:highlight w:val="none"/>
                <w:lang w:val="en-US" w:eastAsia="zh-CN"/>
              </w:rPr>
            </w:pPr>
            <w:r>
              <w:rPr>
                <w:rFonts w:hint="eastAsia"/>
                <w:b w:val="0"/>
                <w:bCs w:val="0"/>
                <w:color w:val="auto"/>
                <w:highlight w:val="none"/>
                <w:lang w:val="en-US" w:eastAsia="zh-CN"/>
              </w:rPr>
              <w:t>（13）在最近三年内发生重大工程质量或重大安全事故被通报或处罚，因违法经营受到刑事处罚或者责令停产停业、吊销许可证或者执照等行政处罚，影响其履约行为；</w:t>
            </w:r>
          </w:p>
          <w:p w14:paraId="3385F72E">
            <w:pPr>
              <w:ind w:firstLine="640"/>
              <w:rPr>
                <w:rFonts w:hint="eastAsia"/>
                <w:b w:val="0"/>
                <w:bCs w:val="0"/>
                <w:color w:val="auto"/>
                <w:highlight w:val="none"/>
                <w:lang w:val="en-US" w:eastAsia="zh-CN"/>
              </w:rPr>
            </w:pPr>
            <w:r>
              <w:rPr>
                <w:rFonts w:hint="eastAsia"/>
                <w:b w:val="0"/>
                <w:bCs w:val="0"/>
                <w:color w:val="auto"/>
                <w:highlight w:val="none"/>
                <w:lang w:val="en-US" w:eastAsia="zh-CN"/>
              </w:rPr>
              <w:t>（14）不符合法律、法规和磋商文件中规定的其他实质性要求的；</w:t>
            </w:r>
          </w:p>
          <w:p w14:paraId="74B196C4">
            <w:pPr>
              <w:ind w:firstLine="640"/>
              <w:rPr>
                <w:rFonts w:hint="eastAsia"/>
                <w:b w:val="0"/>
                <w:bCs w:val="0"/>
                <w:color w:val="auto"/>
                <w:highlight w:val="none"/>
                <w:lang w:val="en-US" w:eastAsia="zh-CN"/>
              </w:rPr>
            </w:pPr>
            <w:r>
              <w:rPr>
                <w:rFonts w:hint="eastAsia"/>
                <w:b w:val="0"/>
                <w:bCs w:val="0"/>
                <w:color w:val="auto"/>
                <w:highlight w:val="none"/>
                <w:lang w:val="en-US" w:eastAsia="zh-CN"/>
              </w:rPr>
              <w:t>（15）磋商文件规定的其他无效标情形；</w:t>
            </w:r>
          </w:p>
          <w:p w14:paraId="412E9D92">
            <w:pPr>
              <w:ind w:firstLine="480" w:firstLineChars="200"/>
              <w:rPr>
                <w:rFonts w:hint="eastAsia"/>
                <w:b w:val="0"/>
                <w:bCs w:val="0"/>
                <w:highlight w:val="none"/>
              </w:rPr>
            </w:pPr>
            <w:r>
              <w:rPr>
                <w:rFonts w:hint="eastAsia"/>
                <w:b w:val="0"/>
                <w:bCs w:val="0"/>
                <w:color w:val="auto"/>
                <w:highlight w:val="none"/>
                <w:lang w:val="en-US" w:eastAsia="zh-CN"/>
              </w:rPr>
              <w:t>（16）其他：</w:t>
            </w:r>
            <w:r>
              <w:rPr>
                <w:rFonts w:hint="eastAsia"/>
                <w:b w:val="0"/>
                <w:bCs w:val="0"/>
                <w:color w:val="auto"/>
                <w:highlight w:val="none"/>
                <w:u w:val="single"/>
                <w:lang w:val="en-US" w:eastAsia="zh-CN"/>
              </w:rPr>
              <w:t>/</w:t>
            </w:r>
            <w:r>
              <w:rPr>
                <w:rFonts w:hint="eastAsia"/>
                <w:b w:val="0"/>
                <w:bCs w:val="0"/>
                <w:color w:val="auto"/>
                <w:highlight w:val="none"/>
                <w:lang w:val="en-US" w:eastAsia="zh-CN"/>
              </w:rPr>
              <w:t xml:space="preserve"> </w:t>
            </w:r>
          </w:p>
        </w:tc>
      </w:tr>
      <w:tr w14:paraId="2FFE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23" w:type="pct"/>
            <w:noWrap w:val="0"/>
            <w:vAlign w:val="center"/>
          </w:tcPr>
          <w:p w14:paraId="7DD51C4C">
            <w:pPr>
              <w:ind w:firstLine="0" w:firstLineChars="0"/>
              <w:jc w:val="center"/>
              <w:rPr>
                <w:rFonts w:hint="eastAsia" w:ascii="Times New Roman" w:hAnsi="Times New Roman"/>
                <w:highlight w:val="none"/>
              </w:rPr>
            </w:pPr>
            <w:r>
              <w:rPr>
                <w:rFonts w:hint="eastAsia"/>
                <w:color w:val="auto"/>
                <w:highlight w:val="none"/>
                <w:lang w:val="en-US" w:eastAsia="zh-CN"/>
              </w:rPr>
              <w:t>25</w:t>
            </w:r>
          </w:p>
        </w:tc>
        <w:tc>
          <w:tcPr>
            <w:tcW w:w="1113" w:type="pct"/>
            <w:noWrap w:val="0"/>
            <w:vAlign w:val="center"/>
          </w:tcPr>
          <w:p w14:paraId="0AFF0811">
            <w:pPr>
              <w:ind w:firstLine="0" w:firstLineChars="0"/>
              <w:jc w:val="center"/>
              <w:rPr>
                <w:rFonts w:hint="eastAsia" w:ascii="Times New Roman" w:hAnsi="Times New Roman"/>
                <w:highlight w:val="none"/>
              </w:rPr>
            </w:pPr>
            <w:r>
              <w:rPr>
                <w:rFonts w:hint="eastAsia"/>
                <w:color w:val="auto"/>
                <w:highlight w:val="none"/>
                <w:lang w:val="en-US" w:eastAsia="zh-CN"/>
              </w:rPr>
              <w:t>废标情形</w:t>
            </w:r>
          </w:p>
        </w:tc>
        <w:tc>
          <w:tcPr>
            <w:tcW w:w="3362" w:type="pct"/>
            <w:noWrap w:val="0"/>
            <w:vAlign w:val="center"/>
          </w:tcPr>
          <w:p w14:paraId="7FE40D3F">
            <w:pPr>
              <w:bidi w:val="0"/>
              <w:rPr>
                <w:rFonts w:hint="eastAsia"/>
                <w:b w:val="0"/>
                <w:bCs w:val="0"/>
                <w:color w:val="auto"/>
                <w:highlight w:val="none"/>
              </w:rPr>
            </w:pPr>
            <w:r>
              <w:rPr>
                <w:rFonts w:hint="eastAsia"/>
                <w:b w:val="0"/>
                <w:bCs w:val="0"/>
                <w:color w:val="auto"/>
                <w:highlight w:val="none"/>
              </w:rPr>
              <w:t>（</w:t>
            </w:r>
            <w:r>
              <w:rPr>
                <w:rFonts w:hint="eastAsia"/>
                <w:b w:val="0"/>
                <w:bCs w:val="0"/>
                <w:color w:val="auto"/>
                <w:highlight w:val="none"/>
                <w:lang w:val="en-US" w:eastAsia="zh-CN"/>
              </w:rPr>
              <w:t>1</w:t>
            </w:r>
            <w:r>
              <w:rPr>
                <w:rFonts w:hint="eastAsia"/>
                <w:b w:val="0"/>
                <w:bCs w:val="0"/>
                <w:color w:val="auto"/>
                <w:highlight w:val="none"/>
              </w:rPr>
              <w:t>）出现影响采购公正的违法、违规行为的；</w:t>
            </w:r>
          </w:p>
          <w:p w14:paraId="327A20DD">
            <w:pPr>
              <w:bidi w:val="0"/>
              <w:rPr>
                <w:rFonts w:hint="eastAsia"/>
                <w:b w:val="0"/>
                <w:bCs w:val="0"/>
                <w:color w:val="auto"/>
                <w:highlight w:val="none"/>
              </w:rPr>
            </w:pPr>
            <w:r>
              <w:rPr>
                <w:rFonts w:hint="eastAsia"/>
                <w:b w:val="0"/>
                <w:bCs w:val="0"/>
                <w:color w:val="auto"/>
                <w:highlight w:val="none"/>
              </w:rPr>
              <w:t>（</w:t>
            </w:r>
            <w:r>
              <w:rPr>
                <w:rFonts w:hint="eastAsia"/>
                <w:b w:val="0"/>
                <w:bCs w:val="0"/>
                <w:color w:val="auto"/>
                <w:highlight w:val="none"/>
                <w:lang w:val="en-US" w:eastAsia="zh-CN"/>
              </w:rPr>
              <w:t>2</w:t>
            </w:r>
            <w:r>
              <w:rPr>
                <w:rFonts w:hint="eastAsia"/>
                <w:b w:val="0"/>
                <w:bCs w:val="0"/>
                <w:color w:val="auto"/>
                <w:highlight w:val="none"/>
              </w:rPr>
              <w:t>）</w:t>
            </w:r>
            <w:r>
              <w:rPr>
                <w:rFonts w:hint="eastAsia"/>
                <w:b w:val="0"/>
                <w:bCs w:val="0"/>
                <w:color w:val="auto"/>
                <w:highlight w:val="none"/>
                <w:lang w:eastAsia="zh-CN"/>
              </w:rPr>
              <w:t>供应商</w:t>
            </w:r>
            <w:r>
              <w:rPr>
                <w:rFonts w:hint="eastAsia"/>
                <w:b w:val="0"/>
                <w:bCs w:val="0"/>
                <w:color w:val="auto"/>
                <w:highlight w:val="none"/>
              </w:rPr>
              <w:t>的报价均超过了采购预算，</w:t>
            </w:r>
            <w:r>
              <w:rPr>
                <w:rFonts w:hint="eastAsia"/>
                <w:b w:val="0"/>
                <w:bCs w:val="0"/>
                <w:color w:val="auto"/>
                <w:highlight w:val="none"/>
                <w:lang w:eastAsia="zh-CN"/>
              </w:rPr>
              <w:t>采购人</w:t>
            </w:r>
            <w:r>
              <w:rPr>
                <w:rFonts w:hint="eastAsia"/>
                <w:b w:val="0"/>
                <w:bCs w:val="0"/>
                <w:color w:val="auto"/>
                <w:highlight w:val="none"/>
              </w:rPr>
              <w:t>不能支付的；</w:t>
            </w:r>
          </w:p>
          <w:p w14:paraId="739AD309">
            <w:pPr>
              <w:bidi w:val="0"/>
              <w:rPr>
                <w:rFonts w:hint="eastAsia" w:eastAsia="仿宋_GB2312"/>
                <w:b w:val="0"/>
                <w:bCs w:val="0"/>
                <w:color w:val="auto"/>
                <w:highlight w:val="none"/>
                <w:lang w:val="en-US" w:eastAsia="zh-CN"/>
              </w:rPr>
            </w:pPr>
            <w:r>
              <w:rPr>
                <w:rFonts w:hint="eastAsia"/>
                <w:b w:val="0"/>
                <w:bCs w:val="0"/>
                <w:color w:val="auto"/>
                <w:highlight w:val="none"/>
                <w:lang w:eastAsia="zh-CN"/>
              </w:rPr>
              <w:t>（</w:t>
            </w:r>
            <w:r>
              <w:rPr>
                <w:rFonts w:hint="eastAsia"/>
                <w:b w:val="0"/>
                <w:bCs w:val="0"/>
                <w:color w:val="auto"/>
                <w:highlight w:val="none"/>
                <w:lang w:val="en-US" w:eastAsia="zh-CN"/>
              </w:rPr>
              <w:t>3</w:t>
            </w:r>
            <w:r>
              <w:rPr>
                <w:rFonts w:hint="eastAsia"/>
                <w:b w:val="0"/>
                <w:bCs w:val="0"/>
                <w:color w:val="auto"/>
                <w:highlight w:val="none"/>
                <w:lang w:eastAsia="zh-CN"/>
              </w:rPr>
              <w:t>）供应商</w:t>
            </w:r>
            <w:r>
              <w:rPr>
                <w:rFonts w:hint="eastAsia"/>
                <w:b w:val="0"/>
                <w:bCs w:val="0"/>
                <w:color w:val="auto"/>
                <w:highlight w:val="none"/>
                <w:lang w:val="en-US" w:eastAsia="zh-CN"/>
              </w:rPr>
              <w:t>资格条件</w:t>
            </w:r>
            <w:r>
              <w:rPr>
                <w:rFonts w:hint="eastAsia"/>
                <w:b w:val="0"/>
                <w:bCs w:val="0"/>
                <w:color w:val="auto"/>
                <w:highlight w:val="none"/>
              </w:rPr>
              <w:t>不符</w:t>
            </w:r>
            <w:r>
              <w:rPr>
                <w:rFonts w:hint="eastAsia"/>
                <w:b w:val="0"/>
                <w:bCs w:val="0"/>
                <w:color w:val="auto"/>
                <w:highlight w:val="none"/>
                <w:lang w:val="en-US" w:eastAsia="zh-CN"/>
              </w:rPr>
              <w:t>磋商文件要求的；</w:t>
            </w:r>
          </w:p>
          <w:p w14:paraId="18AED2F9">
            <w:pPr>
              <w:ind w:firstLine="480" w:firstLineChars="200"/>
              <w:rPr>
                <w:rFonts w:hint="eastAsia"/>
                <w:b w:val="0"/>
                <w:bCs w:val="0"/>
                <w:highlight w:val="none"/>
              </w:rPr>
            </w:pPr>
            <w:r>
              <w:rPr>
                <w:rFonts w:hint="eastAsia"/>
                <w:b w:val="0"/>
                <w:bCs w:val="0"/>
                <w:color w:val="auto"/>
                <w:highlight w:val="none"/>
                <w:lang w:val="en-US" w:eastAsia="zh-CN"/>
              </w:rPr>
              <w:t>（4）其他：</w:t>
            </w:r>
            <w:r>
              <w:rPr>
                <w:rFonts w:hint="eastAsia"/>
                <w:b w:val="0"/>
                <w:bCs w:val="0"/>
                <w:color w:val="auto"/>
                <w:highlight w:val="none"/>
                <w:u w:val="single"/>
                <w:lang w:val="en-US" w:eastAsia="zh-CN"/>
              </w:rPr>
              <w:t>/</w:t>
            </w:r>
            <w:r>
              <w:rPr>
                <w:rFonts w:hint="eastAsia"/>
                <w:b w:val="0"/>
                <w:bCs w:val="0"/>
                <w:color w:val="auto"/>
                <w:highlight w:val="none"/>
                <w:lang w:val="en-US" w:eastAsia="zh-CN"/>
              </w:rPr>
              <w:t xml:space="preserve"> </w:t>
            </w:r>
          </w:p>
        </w:tc>
      </w:tr>
      <w:tr w14:paraId="1FB3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23" w:type="pct"/>
            <w:noWrap w:val="0"/>
            <w:vAlign w:val="center"/>
          </w:tcPr>
          <w:p w14:paraId="2666B70B">
            <w:pPr>
              <w:bidi w:val="0"/>
              <w:ind w:left="0" w:leftChars="0" w:firstLine="0" w:firstLineChars="0"/>
              <w:jc w:val="center"/>
              <w:rPr>
                <w:rFonts w:hint="default" w:eastAsia="宋体"/>
                <w:color w:val="auto"/>
                <w:highlight w:val="none"/>
                <w:lang w:val="en-US" w:eastAsia="zh-CN"/>
              </w:rPr>
            </w:pPr>
            <w:bookmarkStart w:id="143" w:name="_Toc7222"/>
            <w:r>
              <w:rPr>
                <w:rFonts w:hint="eastAsia" w:ascii="Times New Roman" w:hAnsi="Times New Roman" w:cs="Times New Roman"/>
                <w:color w:val="auto"/>
                <w:highlight w:val="none"/>
                <w:lang w:val="en-US" w:eastAsia="zh-CN"/>
              </w:rPr>
              <w:t>26</w:t>
            </w:r>
          </w:p>
        </w:tc>
        <w:tc>
          <w:tcPr>
            <w:tcW w:w="1113" w:type="pct"/>
            <w:noWrap w:val="0"/>
            <w:vAlign w:val="center"/>
          </w:tcPr>
          <w:p w14:paraId="05259EC5">
            <w:pPr>
              <w:ind w:firstLine="0" w:firstLineChars="0"/>
              <w:jc w:val="center"/>
              <w:rPr>
                <w:rFonts w:hint="default"/>
                <w:color w:val="auto"/>
                <w:highlight w:val="none"/>
                <w:shd w:val="clear" w:color="auto" w:fill="FFFFFF"/>
                <w:lang w:val="en-US" w:eastAsia="zh-CN"/>
              </w:rPr>
            </w:pPr>
            <w:r>
              <w:rPr>
                <w:rFonts w:hint="eastAsia"/>
                <w:color w:val="auto"/>
                <w:highlight w:val="none"/>
                <w:shd w:val="clear" w:color="auto" w:fill="FFFFFF"/>
                <w:lang w:val="en-US" w:eastAsia="zh-CN"/>
              </w:rPr>
              <w:t>其他说明</w:t>
            </w:r>
          </w:p>
        </w:tc>
        <w:tc>
          <w:tcPr>
            <w:tcW w:w="3362" w:type="pct"/>
            <w:noWrap w:val="0"/>
            <w:vAlign w:val="top"/>
          </w:tcPr>
          <w:p w14:paraId="5F959B88">
            <w:pPr>
              <w:ind w:left="0" w:leftChars="0" w:firstLine="480" w:firstLineChars="200"/>
              <w:rPr>
                <w:rFonts w:hint="eastAsia" w:cs="Times New Roman"/>
                <w:b w:val="0"/>
                <w:bCs w:val="0"/>
                <w:color w:val="auto"/>
                <w:highlight w:val="none"/>
                <w:lang w:val="en-US" w:eastAsia="zh-CN"/>
              </w:rPr>
            </w:pPr>
            <w:r>
              <w:rPr>
                <w:rFonts w:hint="eastAsia" w:cs="Times New Roman"/>
                <w:b w:val="0"/>
                <w:bCs w:val="0"/>
                <w:color w:val="auto"/>
                <w:highlight w:val="none"/>
                <w:lang w:val="en-US" w:eastAsia="zh-CN"/>
              </w:rPr>
              <w:t>其他：（1）自获取采购文件之日起，供应商应随时关注</w:t>
            </w:r>
            <w:r>
              <w:rPr>
                <w:rFonts w:hint="eastAsia"/>
                <w:color w:val="auto"/>
                <w:highlight w:val="none"/>
              </w:rPr>
              <w:t>中国招标投标公共服务平台（网址：http://www.cebpubservice.com/）、 萍乡市国有企业采购平台（网址： https://pxsgqcg.jczh.com/ ）、萍乡建工集团智慧采购平台（网址：http://ztb.pxjgceg.jczh.com/）、江西萍乡建工集团有限公司电子招标平台 （网址：https://ztb.jxzhhm.com/）</w:t>
            </w:r>
            <w:r>
              <w:rPr>
                <w:rFonts w:hint="eastAsia" w:cs="Times New Roman"/>
                <w:b w:val="0"/>
                <w:bCs w:val="0"/>
                <w:color w:val="auto"/>
                <w:highlight w:val="none"/>
                <w:lang w:val="en-US" w:eastAsia="zh-CN"/>
              </w:rPr>
              <w:t>的招标信息更新，以保证能及时下载采购文件的澄清或修改等信息。特别需要说明的是，采购人的各项通知、文件均通过网络发布，即默认为已送达供应商,若因供应商未及时上网查收等原因导致的不利后果由供应商自行承担。</w:t>
            </w:r>
          </w:p>
          <w:p w14:paraId="046B8D67">
            <w:pPr>
              <w:ind w:left="0" w:leftChars="0" w:firstLine="0" w:firstLineChars="0"/>
              <w:rPr>
                <w:rFonts w:hint="eastAsia" w:cs="Times New Roman"/>
                <w:b w:val="0"/>
                <w:bCs w:val="0"/>
                <w:color w:val="auto"/>
                <w:highlight w:val="none"/>
                <w:lang w:val="en-US" w:eastAsia="zh-CN"/>
              </w:rPr>
            </w:pPr>
            <w:r>
              <w:rPr>
                <w:rFonts w:hint="eastAsia" w:cs="Times New Roman"/>
                <w:b w:val="0"/>
                <w:bCs w:val="0"/>
                <w:color w:val="auto"/>
                <w:highlight w:val="none"/>
                <w:lang w:val="en-US" w:eastAsia="zh-CN"/>
              </w:rPr>
              <w:t>（2）采购人有权核查供应商在响应文件中提供的资料，若在评审期间发现供应商提供了虚假资料，其投标将被否决；若在签订合同前发现作为成交供应商（成交候选人）的供应商提供了虚假资料，采购人有权取消其成交资格；若在合同实施期间发现供应商提供了虚假资料，采购人有权从支付款或履约保证金中扣除不超过 5 %签约合同价的金额作为违约金。</w:t>
            </w:r>
          </w:p>
          <w:p w14:paraId="72469221">
            <w:pPr>
              <w:ind w:left="0" w:leftChars="0" w:firstLine="0" w:firstLineChars="0"/>
              <w:rPr>
                <w:rFonts w:hint="eastAsia" w:cs="Times New Roman"/>
                <w:b w:val="0"/>
                <w:bCs w:val="0"/>
                <w:color w:val="auto"/>
                <w:highlight w:val="none"/>
                <w:lang w:val="en-US" w:eastAsia="zh-CN"/>
              </w:rPr>
            </w:pPr>
            <w:r>
              <w:rPr>
                <w:rFonts w:hint="eastAsia" w:cs="Times New Roman"/>
                <w:b w:val="0"/>
                <w:bCs w:val="0"/>
                <w:color w:val="auto"/>
                <w:highlight w:val="none"/>
                <w:lang w:val="en-US" w:eastAsia="zh-CN"/>
              </w:rPr>
              <w:t>（3）潜在供应商或者其他利害关系人对采购文件有异议的，应当在磋商截止时间3日前以书面形式（由法定代表人或其授权代理人签署并加盖供应商公章）提出。采购人应当自收到异议之日起3日内作出答复。</w:t>
            </w:r>
          </w:p>
          <w:p w14:paraId="03A556EA">
            <w:pPr>
              <w:ind w:left="0" w:leftChars="0" w:firstLine="0" w:firstLineChars="0"/>
              <w:rPr>
                <w:rFonts w:hint="eastAsia" w:cs="Times New Roman"/>
                <w:b w:val="0"/>
                <w:bCs w:val="0"/>
                <w:color w:val="auto"/>
                <w:highlight w:val="none"/>
                <w:lang w:val="en-US" w:eastAsia="zh-CN"/>
              </w:rPr>
            </w:pPr>
            <w:r>
              <w:rPr>
                <w:rFonts w:hint="eastAsia" w:cs="Times New Roman"/>
                <w:b w:val="0"/>
                <w:bCs w:val="0"/>
                <w:color w:val="auto"/>
                <w:highlight w:val="none"/>
                <w:lang w:val="en-US" w:eastAsia="zh-CN"/>
              </w:rPr>
              <w:t>（4）供应商或者其他利害关系人对评审结果有异议的，应当在成交候选人公示期间以书面形式（法定代表人或授权代理人签字并加盖单位公章）向采购人提出，异议受理机构为江西萍乡建工集团招标采购部，电话：0799-6667600 。</w:t>
            </w:r>
          </w:p>
          <w:p w14:paraId="7B8E3ED7">
            <w:pPr>
              <w:ind w:left="0" w:leftChars="0" w:firstLine="0" w:firstLineChars="0"/>
              <w:rPr>
                <w:rFonts w:hint="eastAsia" w:cs="Times New Roman"/>
                <w:b w:val="0"/>
                <w:bCs w:val="0"/>
                <w:color w:val="auto"/>
                <w:highlight w:val="none"/>
                <w:lang w:val="en-US" w:eastAsia="zh-CN"/>
              </w:rPr>
            </w:pPr>
            <w:r>
              <w:rPr>
                <w:rFonts w:hint="eastAsia" w:cs="Times New Roman"/>
                <w:b w:val="0"/>
                <w:bCs w:val="0"/>
                <w:color w:val="auto"/>
                <w:highlight w:val="none"/>
                <w:lang w:val="en-US" w:eastAsia="zh-CN"/>
              </w:rPr>
              <w:t>（5）异议回复之日起10日内，供应商或者其他利害关系人认为采购活动不符合法律、法规和规章规定的，有权向有关监督部门投诉。</w:t>
            </w:r>
          </w:p>
          <w:p w14:paraId="5970965E">
            <w:pPr>
              <w:ind w:left="0" w:leftChars="0" w:firstLine="0" w:firstLineChars="0"/>
              <w:rPr>
                <w:rFonts w:hint="eastAsia" w:cs="Times New Roman"/>
                <w:b w:val="0"/>
                <w:bCs w:val="0"/>
                <w:color w:val="auto"/>
                <w:highlight w:val="none"/>
                <w:lang w:val="en-US" w:eastAsia="zh-CN"/>
              </w:rPr>
            </w:pPr>
            <w:r>
              <w:rPr>
                <w:rFonts w:hint="eastAsia" w:cs="Times New Roman"/>
                <w:b w:val="0"/>
                <w:bCs w:val="0"/>
                <w:color w:val="auto"/>
                <w:highlight w:val="none"/>
                <w:lang w:val="en-US" w:eastAsia="zh-CN"/>
              </w:rPr>
              <w:t>（6）投诉人有下列情况的，为不正当投诉，由监督单位驳回投诉，采购人有权将其列入企业黑名单。</w:t>
            </w:r>
          </w:p>
          <w:p w14:paraId="42BFBCF1">
            <w:pPr>
              <w:ind w:left="0" w:leftChars="0" w:firstLine="0" w:firstLineChars="0"/>
              <w:rPr>
                <w:rFonts w:hint="eastAsia" w:cs="Times New Roman"/>
                <w:b w:val="0"/>
                <w:bCs w:val="0"/>
                <w:color w:val="auto"/>
                <w:highlight w:val="none"/>
                <w:lang w:val="en-US" w:eastAsia="zh-CN"/>
              </w:rPr>
            </w:pPr>
            <w:r>
              <w:rPr>
                <w:rFonts w:hint="eastAsia" w:cs="Times New Roman"/>
                <w:b w:val="0"/>
                <w:bCs w:val="0"/>
                <w:color w:val="auto"/>
                <w:highlight w:val="none"/>
                <w:lang w:val="en-US" w:eastAsia="zh-CN"/>
              </w:rPr>
              <w:t>①以投诉为名排斥竞争对手的；</w:t>
            </w:r>
          </w:p>
          <w:p w14:paraId="14A64AB9">
            <w:pPr>
              <w:ind w:left="0" w:leftChars="0" w:firstLine="0" w:firstLineChars="0"/>
              <w:rPr>
                <w:rFonts w:hint="eastAsia" w:cs="Times New Roman"/>
                <w:b w:val="0"/>
                <w:bCs w:val="0"/>
                <w:color w:val="auto"/>
                <w:highlight w:val="none"/>
                <w:lang w:val="en-US" w:eastAsia="zh-CN"/>
              </w:rPr>
            </w:pPr>
            <w:r>
              <w:rPr>
                <w:rFonts w:hint="eastAsia" w:cs="Times New Roman"/>
                <w:b w:val="0"/>
                <w:bCs w:val="0"/>
                <w:color w:val="auto"/>
                <w:highlight w:val="none"/>
                <w:lang w:val="en-US" w:eastAsia="zh-CN"/>
              </w:rPr>
              <w:t>②进行虚假、恶意投诉的；</w:t>
            </w:r>
          </w:p>
          <w:p w14:paraId="6BA45E8A">
            <w:pPr>
              <w:ind w:left="0" w:leftChars="0" w:firstLine="0" w:firstLineChars="0"/>
              <w:rPr>
                <w:rFonts w:hint="eastAsia" w:cs="Times New Roman"/>
                <w:b w:val="0"/>
                <w:bCs w:val="0"/>
                <w:color w:val="auto"/>
                <w:highlight w:val="none"/>
                <w:lang w:val="en-US" w:eastAsia="zh-CN"/>
              </w:rPr>
            </w:pPr>
            <w:r>
              <w:rPr>
                <w:rFonts w:hint="eastAsia" w:cs="Times New Roman"/>
                <w:b w:val="0"/>
                <w:bCs w:val="0"/>
                <w:color w:val="auto"/>
                <w:highlight w:val="none"/>
                <w:lang w:val="en-US" w:eastAsia="zh-CN"/>
              </w:rPr>
              <w:t>③阻碍采购活动正常进行的；</w:t>
            </w:r>
          </w:p>
          <w:p w14:paraId="7D553C76">
            <w:pPr>
              <w:ind w:left="0" w:leftChars="0" w:firstLine="0" w:firstLineChars="0"/>
              <w:rPr>
                <w:rFonts w:hint="eastAsia" w:cs="Times New Roman"/>
                <w:b w:val="0"/>
                <w:bCs w:val="0"/>
                <w:color w:val="auto"/>
                <w:highlight w:val="none"/>
                <w:lang w:val="en-US" w:eastAsia="zh-CN"/>
              </w:rPr>
            </w:pPr>
            <w:r>
              <w:rPr>
                <w:rFonts w:hint="eastAsia" w:cs="Times New Roman"/>
                <w:b w:val="0"/>
                <w:bCs w:val="0"/>
                <w:color w:val="auto"/>
                <w:highlight w:val="none"/>
                <w:lang w:val="en-US" w:eastAsia="zh-CN"/>
              </w:rPr>
              <w:t>④法律、法规规定的其他情况。</w:t>
            </w:r>
          </w:p>
          <w:p w14:paraId="57DDEDF1">
            <w:pPr>
              <w:ind w:left="0" w:leftChars="0" w:firstLine="0" w:firstLineChars="0"/>
              <w:rPr>
                <w:rFonts w:hint="eastAsia" w:cs="Times New Roman"/>
                <w:b w:val="0"/>
                <w:bCs w:val="0"/>
                <w:color w:val="auto"/>
                <w:highlight w:val="none"/>
                <w:lang w:val="en-US" w:eastAsia="zh-CN"/>
              </w:rPr>
            </w:pPr>
            <w:r>
              <w:rPr>
                <w:rFonts w:hint="eastAsia" w:cs="Times New Roman"/>
                <w:b w:val="0"/>
                <w:bCs w:val="0"/>
                <w:color w:val="auto"/>
                <w:highlight w:val="none"/>
                <w:lang w:val="en-US" w:eastAsia="zh-CN"/>
              </w:rPr>
              <w:t xml:space="preserve">（7）评审委员会在评审过程中，如果发现供应商得分出现畸高畸低情况，评审委员会需对本次磋商是否具备竞争性进行审查，对不具备竞争性的磋商，评审委员会将否决所有响应。‌                    </w:t>
            </w:r>
          </w:p>
          <w:p w14:paraId="0FB157C9">
            <w:pPr>
              <w:ind w:left="0" w:leftChars="0" w:firstLine="0" w:firstLineChars="0"/>
              <w:rPr>
                <w:rFonts w:hint="default" w:cs="Times New Roman"/>
                <w:b w:val="0"/>
                <w:bCs w:val="0"/>
                <w:color w:val="auto"/>
                <w:highlight w:val="none"/>
                <w:lang w:val="en-US" w:eastAsia="zh-CN"/>
              </w:rPr>
            </w:pPr>
            <w:r>
              <w:rPr>
                <w:rFonts w:hint="eastAsia" w:cs="Times New Roman"/>
                <w:b w:val="0"/>
                <w:bCs w:val="0"/>
                <w:color w:val="auto"/>
                <w:highlight w:val="none"/>
                <w:lang w:val="en-US" w:eastAsia="zh-CN"/>
              </w:rPr>
              <w:t>（8）《供应商须知前附表》若与采购文件有冲突之处，以本《供应商须知前附表》为准。</w:t>
            </w:r>
          </w:p>
        </w:tc>
      </w:tr>
      <w:tr w14:paraId="3D75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23" w:type="pct"/>
            <w:noWrap w:val="0"/>
            <w:vAlign w:val="center"/>
          </w:tcPr>
          <w:p w14:paraId="4B29DBEF">
            <w:pPr>
              <w:bidi w:val="0"/>
              <w:ind w:left="0" w:leftChars="0" w:firstLine="0" w:firstLineChars="0"/>
              <w:jc w:val="center"/>
              <w:rPr>
                <w:rFonts w:hint="default" w:ascii="Times New Roman" w:hAnsi="Times New Roman" w:cs="Times New Roman"/>
                <w:color w:val="auto"/>
                <w:highlight w:val="none"/>
                <w:lang w:val="en-US" w:eastAsia="zh-CN"/>
              </w:rPr>
            </w:pPr>
            <w:bookmarkStart w:id="144" w:name="_Toc31961"/>
            <w:bookmarkStart w:id="145" w:name="_Toc32721"/>
            <w:bookmarkStart w:id="146" w:name="_Toc1649"/>
            <w:bookmarkStart w:id="147" w:name="_Toc18190"/>
            <w:bookmarkStart w:id="148" w:name="_Toc27596"/>
            <w:bookmarkStart w:id="149" w:name="_Toc23625"/>
            <w:bookmarkStart w:id="150" w:name="_Toc11167"/>
            <w:bookmarkStart w:id="151" w:name="_Toc1914"/>
            <w:r>
              <w:rPr>
                <w:rFonts w:hint="eastAsia" w:ascii="Times New Roman" w:hAnsi="Times New Roman" w:cs="Times New Roman"/>
                <w:color w:val="auto"/>
                <w:highlight w:val="none"/>
                <w:lang w:val="en-US" w:eastAsia="zh-CN"/>
              </w:rPr>
              <w:t>27</w:t>
            </w:r>
          </w:p>
        </w:tc>
        <w:tc>
          <w:tcPr>
            <w:tcW w:w="1113" w:type="pct"/>
            <w:noWrap w:val="0"/>
            <w:vAlign w:val="center"/>
          </w:tcPr>
          <w:p w14:paraId="384889D1">
            <w:pPr>
              <w:ind w:firstLine="0" w:firstLineChars="0"/>
              <w:jc w:val="center"/>
              <w:rPr>
                <w:rFonts w:hint="eastAsia"/>
                <w:color w:val="auto"/>
                <w:highlight w:val="none"/>
                <w:shd w:val="clear" w:color="auto" w:fill="FFFFFF"/>
                <w:lang w:val="en-US" w:eastAsia="zh-CN"/>
              </w:rPr>
            </w:pPr>
            <w:r>
              <w:rPr>
                <w:rFonts w:hint="eastAsia"/>
                <w:color w:val="auto"/>
                <w:highlight w:val="none"/>
                <w:shd w:val="clear" w:color="auto" w:fill="FFFFFF"/>
                <w:lang w:val="en-US" w:eastAsia="zh-CN"/>
              </w:rPr>
              <w:t>招标服务费</w:t>
            </w:r>
          </w:p>
        </w:tc>
        <w:tc>
          <w:tcPr>
            <w:tcW w:w="3362" w:type="pct"/>
            <w:noWrap w:val="0"/>
            <w:vAlign w:val="top"/>
          </w:tcPr>
          <w:p w14:paraId="702AE2FF">
            <w:pPr>
              <w:ind w:left="0" w:leftChars="0" w:firstLine="0" w:firstLineChars="0"/>
              <w:rPr>
                <w:rFonts w:hint="eastAsia" w:eastAsia="仿宋_GB2312" w:cs="Times New Roman"/>
                <w:b w:val="0"/>
                <w:bCs w:val="0"/>
                <w:color w:val="auto"/>
                <w:highlight w:val="none"/>
                <w:lang w:val="en-US" w:eastAsia="zh-CN"/>
              </w:rPr>
            </w:pPr>
            <w:r>
              <w:rPr>
                <w:rFonts w:hint="eastAsia"/>
                <w:shd w:val="clear" w:color="auto" w:fill="FFFFFF"/>
                <w:lang w:eastAsia="zh-CN"/>
              </w:rPr>
              <w:t>招标服务费</w:t>
            </w:r>
            <w:r>
              <w:rPr>
                <w:rFonts w:hint="eastAsia"/>
                <w:shd w:val="clear" w:color="auto" w:fill="FFFFFF"/>
                <w:lang w:val="en-US" w:eastAsia="zh-CN"/>
              </w:rPr>
              <w:t>2000</w:t>
            </w:r>
            <w:r>
              <w:rPr>
                <w:rFonts w:hint="eastAsia"/>
                <w:shd w:val="clear" w:color="auto" w:fill="FFFFFF"/>
              </w:rPr>
              <w:t>元整由中标人</w:t>
            </w:r>
            <w:r>
              <w:rPr>
                <w:rFonts w:hint="eastAsia"/>
                <w:shd w:val="clear" w:color="auto" w:fill="FFFFFF"/>
                <w:lang w:eastAsia="zh-CN"/>
              </w:rPr>
              <w:t>支付</w:t>
            </w:r>
          </w:p>
        </w:tc>
      </w:tr>
    </w:tbl>
    <w:p w14:paraId="60199D5D">
      <w:pPr>
        <w:pStyle w:val="3"/>
        <w:numPr>
          <w:ilvl w:val="0"/>
          <w:numId w:val="0"/>
        </w:numPr>
        <w:bidi w:val="0"/>
        <w:ind w:left="0" w:leftChars="0" w:firstLine="0" w:firstLineChars="0"/>
        <w:rPr>
          <w:highlight w:val="none"/>
        </w:rPr>
      </w:pPr>
      <w:r>
        <w:rPr>
          <w:rFonts w:hint="eastAsia" w:ascii="仿宋_GB2312" w:hAnsi="仿宋_GB2312" w:eastAsia="仿宋_GB2312" w:cs="Times New Roman"/>
          <w:b/>
          <w:bCs/>
          <w:kern w:val="2"/>
          <w:sz w:val="24"/>
          <w:szCs w:val="32"/>
          <w:lang w:val="en-US" w:eastAsia="zh-CN" w:bidi="ar-SA"/>
        </w:rPr>
        <w:t>二、</w:t>
      </w:r>
      <w:r>
        <w:rPr>
          <w:rFonts w:hint="eastAsia"/>
          <w:highlight w:val="none"/>
        </w:rPr>
        <w:t>说明</w:t>
      </w:r>
      <w:bookmarkEnd w:id="142"/>
      <w:bookmarkEnd w:id="143"/>
      <w:bookmarkEnd w:id="144"/>
      <w:bookmarkEnd w:id="145"/>
      <w:bookmarkEnd w:id="146"/>
      <w:bookmarkEnd w:id="147"/>
      <w:bookmarkEnd w:id="148"/>
      <w:bookmarkEnd w:id="149"/>
      <w:bookmarkEnd w:id="150"/>
      <w:bookmarkEnd w:id="151"/>
    </w:p>
    <w:p w14:paraId="1EEC8D14">
      <w:pPr>
        <w:bidi w:val="0"/>
        <w:rPr>
          <w:b/>
          <w:bCs/>
          <w:color w:val="auto"/>
          <w:highlight w:val="none"/>
        </w:rPr>
      </w:pPr>
      <w:r>
        <w:rPr>
          <w:rFonts w:hint="eastAsia"/>
          <w:b/>
          <w:bCs/>
          <w:color w:val="auto"/>
          <w:highlight w:val="none"/>
        </w:rPr>
        <w:t>1. 适用范围</w:t>
      </w:r>
    </w:p>
    <w:p w14:paraId="571D0E0F">
      <w:pPr>
        <w:bidi w:val="0"/>
        <w:rPr>
          <w:color w:val="auto"/>
          <w:highlight w:val="none"/>
        </w:rPr>
      </w:pPr>
      <w:r>
        <w:rPr>
          <w:rFonts w:hint="eastAsia"/>
          <w:color w:val="auto"/>
          <w:highlight w:val="none"/>
        </w:rPr>
        <w:t>本磋商文件仅适用于本“</w:t>
      </w:r>
      <w:r>
        <w:rPr>
          <w:rFonts w:hint="eastAsia"/>
          <w:color w:val="auto"/>
          <w:highlight w:val="none"/>
          <w:lang w:eastAsia="zh-CN"/>
        </w:rPr>
        <w:t>磋商公告</w:t>
      </w:r>
      <w:r>
        <w:rPr>
          <w:rFonts w:hint="eastAsia"/>
          <w:color w:val="auto"/>
          <w:highlight w:val="none"/>
        </w:rPr>
        <w:t>”中所述</w:t>
      </w:r>
      <w:r>
        <w:rPr>
          <w:rFonts w:hint="eastAsia"/>
          <w:highlight w:val="none"/>
        </w:rPr>
        <w:t>的货物或工程或服务的采购</w:t>
      </w:r>
      <w:r>
        <w:rPr>
          <w:rFonts w:hint="eastAsia"/>
          <w:color w:val="auto"/>
          <w:highlight w:val="none"/>
        </w:rPr>
        <w:t>。</w:t>
      </w:r>
    </w:p>
    <w:p w14:paraId="02ACEEC3">
      <w:pPr>
        <w:bidi w:val="0"/>
        <w:rPr>
          <w:b/>
          <w:bCs/>
          <w:color w:val="auto"/>
          <w:highlight w:val="none"/>
        </w:rPr>
      </w:pPr>
      <w:r>
        <w:rPr>
          <w:rFonts w:hint="eastAsia"/>
          <w:b/>
          <w:bCs/>
          <w:color w:val="auto"/>
          <w:highlight w:val="none"/>
        </w:rPr>
        <w:t>2. 定义</w:t>
      </w:r>
    </w:p>
    <w:p w14:paraId="3840A93B">
      <w:pPr>
        <w:bidi w:val="0"/>
        <w:rPr>
          <w:rFonts w:hint="eastAsia"/>
          <w:color w:val="auto"/>
          <w:highlight w:val="none"/>
          <w:lang w:eastAsia="zh-CN"/>
        </w:rPr>
      </w:pPr>
      <w:r>
        <w:rPr>
          <w:rFonts w:hint="eastAsia"/>
          <w:color w:val="auto"/>
          <w:highlight w:val="none"/>
        </w:rPr>
        <w:t>2.1采购人：详见“供应商须知前附表”</w:t>
      </w:r>
      <w:r>
        <w:rPr>
          <w:rFonts w:hint="eastAsia"/>
          <w:color w:val="auto"/>
          <w:highlight w:val="none"/>
          <w:lang w:eastAsia="zh-CN"/>
        </w:rPr>
        <w:t>。</w:t>
      </w:r>
    </w:p>
    <w:p w14:paraId="77037CF5">
      <w:pPr>
        <w:bidi w:val="0"/>
        <w:rPr>
          <w:color w:val="auto"/>
          <w:highlight w:val="none"/>
        </w:rPr>
      </w:pPr>
      <w:r>
        <w:rPr>
          <w:rFonts w:hint="eastAsia"/>
          <w:color w:val="auto"/>
          <w:highlight w:val="none"/>
        </w:rPr>
        <w:t>2.2供应商：是指向采购人提供“</w:t>
      </w:r>
      <w:r>
        <w:rPr>
          <w:rFonts w:hint="eastAsia"/>
          <w:color w:val="auto"/>
          <w:highlight w:val="none"/>
          <w:lang w:eastAsia="zh-CN"/>
        </w:rPr>
        <w:t>磋商公告</w:t>
      </w:r>
      <w:r>
        <w:rPr>
          <w:rFonts w:hint="eastAsia"/>
          <w:color w:val="auto"/>
          <w:highlight w:val="none"/>
        </w:rPr>
        <w:t>”中采购内容的法人、其它组织。</w:t>
      </w:r>
    </w:p>
    <w:p w14:paraId="723F03EC">
      <w:pPr>
        <w:bidi w:val="0"/>
        <w:rPr>
          <w:b/>
          <w:bCs/>
          <w:color w:val="auto"/>
          <w:highlight w:val="none"/>
        </w:rPr>
      </w:pPr>
      <w:r>
        <w:rPr>
          <w:rFonts w:hint="eastAsia"/>
          <w:b/>
          <w:bCs/>
          <w:color w:val="auto"/>
          <w:highlight w:val="none"/>
        </w:rPr>
        <w:t>3. 合格供应商</w:t>
      </w:r>
    </w:p>
    <w:p w14:paraId="4BA811DC">
      <w:pPr>
        <w:bidi w:val="0"/>
        <w:rPr>
          <w:rFonts w:hint="eastAsia" w:eastAsia="仿宋"/>
          <w:color w:val="auto"/>
          <w:highlight w:val="none"/>
          <w:lang w:eastAsia="zh-CN"/>
        </w:rPr>
      </w:pPr>
      <w:r>
        <w:rPr>
          <w:rFonts w:hint="eastAsia"/>
          <w:color w:val="auto"/>
          <w:highlight w:val="none"/>
        </w:rPr>
        <w:t>3.1供应商的资格条件： 详见“</w:t>
      </w:r>
      <w:r>
        <w:rPr>
          <w:rFonts w:hint="eastAsia"/>
          <w:color w:val="auto"/>
          <w:highlight w:val="none"/>
          <w:lang w:eastAsia="zh-CN"/>
        </w:rPr>
        <w:t>磋商公告</w:t>
      </w:r>
      <w:r>
        <w:rPr>
          <w:rFonts w:hint="eastAsia"/>
          <w:color w:val="auto"/>
          <w:highlight w:val="none"/>
        </w:rPr>
        <w:t>”</w:t>
      </w:r>
      <w:r>
        <w:rPr>
          <w:rFonts w:hint="eastAsia"/>
          <w:color w:val="auto"/>
          <w:highlight w:val="none"/>
          <w:lang w:eastAsia="zh-CN"/>
        </w:rPr>
        <w:t>。</w:t>
      </w:r>
    </w:p>
    <w:p w14:paraId="64ED8258">
      <w:pPr>
        <w:bidi w:val="0"/>
        <w:rPr>
          <w:b/>
          <w:bCs/>
          <w:color w:val="auto"/>
          <w:highlight w:val="none"/>
        </w:rPr>
      </w:pPr>
      <w:r>
        <w:rPr>
          <w:rFonts w:hint="eastAsia"/>
          <w:b/>
          <w:bCs/>
          <w:color w:val="auto"/>
          <w:highlight w:val="none"/>
        </w:rPr>
        <w:t>4. 磋商费用</w:t>
      </w:r>
    </w:p>
    <w:p w14:paraId="6F0211C4">
      <w:pPr>
        <w:bidi w:val="0"/>
        <w:rPr>
          <w:color w:val="auto"/>
          <w:highlight w:val="none"/>
        </w:rPr>
      </w:pPr>
      <w:r>
        <w:rPr>
          <w:rFonts w:hint="eastAsia"/>
          <w:color w:val="auto"/>
          <w:highlight w:val="none"/>
        </w:rPr>
        <w:t>不论磋商的结果如何，供应商应自行承担所有与准备和参加磋商有关的全部费用。</w:t>
      </w:r>
    </w:p>
    <w:p w14:paraId="0841733B">
      <w:pPr>
        <w:bidi w:val="0"/>
        <w:rPr>
          <w:b/>
          <w:bCs/>
          <w:color w:val="auto"/>
          <w:highlight w:val="none"/>
        </w:rPr>
      </w:pPr>
      <w:r>
        <w:rPr>
          <w:rFonts w:hint="eastAsia"/>
          <w:b/>
          <w:bCs/>
          <w:color w:val="auto"/>
          <w:highlight w:val="none"/>
        </w:rPr>
        <w:t>5. 供应商代表</w:t>
      </w:r>
    </w:p>
    <w:p w14:paraId="661D637B">
      <w:pPr>
        <w:bidi w:val="0"/>
        <w:rPr>
          <w:rFonts w:hint="eastAsia"/>
          <w:color w:val="auto"/>
          <w:highlight w:val="none"/>
        </w:rPr>
      </w:pPr>
      <w:r>
        <w:rPr>
          <w:rFonts w:hint="eastAsia"/>
          <w:color w:val="auto"/>
          <w:highlight w:val="none"/>
        </w:rPr>
        <w:t>指全权代表供应商参加磋商活动并签署响应文件的人。如果供应商代表不是法定代表人，须持有《法定代表人授权书》（格式详见“第四章 响应文件格式”）。</w:t>
      </w:r>
    </w:p>
    <w:p w14:paraId="6B999AF0">
      <w:pPr>
        <w:pStyle w:val="3"/>
        <w:numPr>
          <w:ilvl w:val="0"/>
          <w:numId w:val="0"/>
        </w:numPr>
        <w:bidi w:val="0"/>
        <w:ind w:left="0" w:leftChars="0" w:firstLine="480" w:firstLineChars="200"/>
        <w:rPr>
          <w:highlight w:val="none"/>
        </w:rPr>
      </w:pPr>
      <w:bookmarkStart w:id="152" w:name="_Toc3456"/>
      <w:bookmarkStart w:id="153" w:name="_Toc15294"/>
      <w:bookmarkStart w:id="154" w:name="_Toc7139"/>
      <w:bookmarkStart w:id="155" w:name="_Toc3631"/>
      <w:bookmarkStart w:id="156" w:name="_Toc26325"/>
      <w:bookmarkStart w:id="157" w:name="_Toc11014"/>
      <w:bookmarkStart w:id="158" w:name="_Toc505020154"/>
      <w:bookmarkStart w:id="159" w:name="_Toc25278"/>
      <w:bookmarkStart w:id="160" w:name="_Toc8413"/>
      <w:bookmarkStart w:id="161" w:name="_Toc14268"/>
      <w:r>
        <w:rPr>
          <w:rFonts w:hint="eastAsia" w:ascii="仿宋_GB2312" w:hAnsi="仿宋_GB2312" w:eastAsia="仿宋_GB2312" w:cs="Times New Roman"/>
          <w:b/>
          <w:bCs/>
          <w:kern w:val="2"/>
          <w:sz w:val="24"/>
          <w:szCs w:val="32"/>
          <w:lang w:val="en-US" w:eastAsia="zh-CN" w:bidi="ar-SA"/>
        </w:rPr>
        <w:t>三、</w:t>
      </w:r>
      <w:r>
        <w:rPr>
          <w:rFonts w:hint="eastAsia"/>
          <w:highlight w:val="none"/>
        </w:rPr>
        <w:t>磋商文件</w:t>
      </w:r>
      <w:bookmarkEnd w:id="152"/>
      <w:bookmarkEnd w:id="153"/>
      <w:bookmarkEnd w:id="154"/>
      <w:bookmarkEnd w:id="155"/>
      <w:bookmarkEnd w:id="156"/>
      <w:bookmarkEnd w:id="157"/>
      <w:bookmarkEnd w:id="158"/>
      <w:bookmarkEnd w:id="159"/>
      <w:bookmarkEnd w:id="160"/>
      <w:bookmarkEnd w:id="161"/>
    </w:p>
    <w:p w14:paraId="49F457F6">
      <w:pPr>
        <w:bidi w:val="0"/>
        <w:rPr>
          <w:b/>
          <w:bCs/>
          <w:color w:val="auto"/>
          <w:highlight w:val="none"/>
        </w:rPr>
      </w:pPr>
      <w:r>
        <w:rPr>
          <w:rFonts w:hint="eastAsia"/>
          <w:b/>
          <w:bCs/>
          <w:color w:val="auto"/>
          <w:highlight w:val="none"/>
        </w:rPr>
        <w:t>6. 磋商文件构成</w:t>
      </w:r>
    </w:p>
    <w:p w14:paraId="0307D4AC">
      <w:pPr>
        <w:bidi w:val="0"/>
        <w:rPr>
          <w:color w:val="auto"/>
          <w:highlight w:val="none"/>
        </w:rPr>
      </w:pPr>
      <w:r>
        <w:rPr>
          <w:rFonts w:hint="eastAsia"/>
          <w:color w:val="auto"/>
          <w:highlight w:val="none"/>
        </w:rPr>
        <w:t>6.1 要求提供的有关</w:t>
      </w:r>
      <w:r>
        <w:rPr>
          <w:rFonts w:hint="eastAsia"/>
          <w:color w:val="auto"/>
          <w:highlight w:val="none"/>
          <w:lang w:val="en-US" w:eastAsia="zh-CN"/>
        </w:rPr>
        <w:t>服务</w:t>
      </w:r>
      <w:r>
        <w:rPr>
          <w:rFonts w:hint="eastAsia"/>
          <w:color w:val="auto"/>
          <w:highlight w:val="none"/>
        </w:rPr>
        <w:t>、磋商过程和合同条款在磋商文件中均有说明。磋商文件共</w:t>
      </w:r>
      <w:r>
        <w:rPr>
          <w:rFonts w:hint="eastAsia"/>
          <w:color w:val="auto"/>
          <w:highlight w:val="none"/>
          <w:lang w:val="en-US" w:eastAsia="zh-CN"/>
        </w:rPr>
        <w:t>五</w:t>
      </w:r>
      <w:r>
        <w:rPr>
          <w:rFonts w:hint="eastAsia"/>
          <w:color w:val="auto"/>
          <w:highlight w:val="none"/>
        </w:rPr>
        <w:t>章，各章的内容如下：</w:t>
      </w:r>
    </w:p>
    <w:p w14:paraId="343AF94E">
      <w:pPr>
        <w:numPr>
          <w:ilvl w:val="0"/>
          <w:numId w:val="2"/>
        </w:numPr>
        <w:bidi w:val="0"/>
        <w:ind w:left="1320" w:leftChars="0" w:firstLineChars="0"/>
        <w:rPr>
          <w:color w:val="auto"/>
          <w:highlight w:val="none"/>
        </w:rPr>
      </w:pPr>
      <w:r>
        <w:rPr>
          <w:rFonts w:hint="eastAsia"/>
          <w:color w:val="auto"/>
          <w:highlight w:val="none"/>
          <w:lang w:eastAsia="zh-CN"/>
        </w:rPr>
        <w:t>磋商公告</w:t>
      </w:r>
    </w:p>
    <w:p w14:paraId="69FD481E">
      <w:pPr>
        <w:numPr>
          <w:ilvl w:val="0"/>
          <w:numId w:val="2"/>
        </w:numPr>
        <w:bidi w:val="0"/>
        <w:ind w:left="1320" w:leftChars="0" w:firstLineChars="0"/>
        <w:jc w:val="left"/>
        <w:rPr>
          <w:color w:val="auto"/>
          <w:highlight w:val="none"/>
        </w:rPr>
      </w:pPr>
      <w:r>
        <w:rPr>
          <w:rFonts w:hint="eastAsia"/>
          <w:color w:val="auto"/>
          <w:highlight w:val="none"/>
        </w:rPr>
        <w:t>供应商须知</w:t>
      </w:r>
    </w:p>
    <w:p w14:paraId="52C56C6E">
      <w:pPr>
        <w:numPr>
          <w:ilvl w:val="0"/>
          <w:numId w:val="2"/>
        </w:numPr>
        <w:bidi w:val="0"/>
        <w:ind w:left="1320" w:leftChars="0" w:firstLineChars="0"/>
        <w:rPr>
          <w:color w:val="auto"/>
          <w:highlight w:val="none"/>
        </w:rPr>
      </w:pPr>
      <w:r>
        <w:rPr>
          <w:rFonts w:hint="eastAsia"/>
          <w:color w:val="auto"/>
          <w:highlight w:val="none"/>
        </w:rPr>
        <w:t xml:space="preserve">拟签订的合同文本 </w:t>
      </w:r>
    </w:p>
    <w:p w14:paraId="73506B8E">
      <w:pPr>
        <w:numPr>
          <w:ilvl w:val="0"/>
          <w:numId w:val="2"/>
        </w:numPr>
        <w:bidi w:val="0"/>
        <w:ind w:left="1320" w:leftChars="0" w:firstLineChars="0"/>
        <w:rPr>
          <w:color w:val="auto"/>
          <w:highlight w:val="none"/>
        </w:rPr>
      </w:pPr>
      <w:r>
        <w:rPr>
          <w:rFonts w:hint="eastAsia"/>
          <w:color w:val="auto"/>
          <w:highlight w:val="none"/>
        </w:rPr>
        <w:t>响应文件格式</w:t>
      </w:r>
    </w:p>
    <w:p w14:paraId="22D02443">
      <w:pPr>
        <w:numPr>
          <w:ilvl w:val="0"/>
          <w:numId w:val="2"/>
        </w:numPr>
        <w:bidi w:val="0"/>
        <w:ind w:left="1320" w:leftChars="0" w:firstLineChars="0"/>
        <w:rPr>
          <w:color w:val="auto"/>
          <w:highlight w:val="none"/>
        </w:rPr>
      </w:pPr>
      <w:r>
        <w:rPr>
          <w:rFonts w:hint="eastAsia"/>
          <w:color w:val="auto"/>
          <w:highlight w:val="none"/>
        </w:rPr>
        <w:t>评审标准</w:t>
      </w:r>
    </w:p>
    <w:p w14:paraId="3674F67B">
      <w:pPr>
        <w:bidi w:val="0"/>
        <w:rPr>
          <w:color w:val="auto"/>
          <w:highlight w:val="none"/>
        </w:rPr>
      </w:pPr>
      <w:r>
        <w:rPr>
          <w:rFonts w:hint="eastAsia"/>
          <w:color w:val="auto"/>
          <w:highlight w:val="none"/>
        </w:rPr>
        <w:t>6.2 除非有特殊要求，磋商文件不单独提供磋商所需</w:t>
      </w:r>
      <w:r>
        <w:rPr>
          <w:rFonts w:hint="eastAsia"/>
          <w:color w:val="auto"/>
          <w:highlight w:val="none"/>
          <w:lang w:val="en-US" w:eastAsia="zh-CN"/>
        </w:rPr>
        <w:t>货物</w:t>
      </w:r>
      <w:r>
        <w:rPr>
          <w:rFonts w:hint="eastAsia"/>
          <w:color w:val="auto"/>
          <w:highlight w:val="none"/>
        </w:rPr>
        <w:t>使用地的自然环境、气候条件、公用设施等情况，供应商被视为熟悉上述与履行合同有关的一切情况。</w:t>
      </w:r>
    </w:p>
    <w:p w14:paraId="0842AF2C">
      <w:pPr>
        <w:bidi w:val="0"/>
        <w:rPr>
          <w:b/>
          <w:bCs/>
          <w:color w:val="auto"/>
          <w:highlight w:val="none"/>
        </w:rPr>
      </w:pPr>
      <w:r>
        <w:rPr>
          <w:rFonts w:hint="eastAsia"/>
          <w:b/>
          <w:bCs/>
          <w:color w:val="auto"/>
          <w:highlight w:val="none"/>
        </w:rPr>
        <w:t>7. 磋商文件的澄清和修改</w:t>
      </w:r>
    </w:p>
    <w:p w14:paraId="1CEDAD7D">
      <w:pPr>
        <w:bidi w:val="0"/>
        <w:rPr>
          <w:color w:val="auto"/>
          <w:highlight w:val="none"/>
        </w:rPr>
      </w:pPr>
      <w:r>
        <w:rPr>
          <w:rFonts w:hint="eastAsia"/>
          <w:color w:val="auto"/>
          <w:highlight w:val="none"/>
        </w:rPr>
        <w:t xml:space="preserve">7.1 </w:t>
      </w:r>
      <w:r>
        <w:rPr>
          <w:rFonts w:hint="eastAsia"/>
          <w:color w:val="auto"/>
          <w:highlight w:val="none"/>
          <w:lang w:val="en-US" w:eastAsia="zh-CN"/>
        </w:rPr>
        <w:t>提交首次</w:t>
      </w:r>
      <w:r>
        <w:rPr>
          <w:rFonts w:hint="eastAsia"/>
          <w:color w:val="auto"/>
          <w:highlight w:val="none"/>
        </w:rPr>
        <w:t>响应文件截止时间前的任何时候，</w:t>
      </w:r>
      <w:r>
        <w:rPr>
          <w:rFonts w:hint="eastAsia"/>
          <w:color w:val="auto"/>
          <w:highlight w:val="none"/>
          <w:u w:val="none"/>
          <w:lang w:val="en-US" w:eastAsia="zh-CN"/>
        </w:rPr>
        <w:t>采购人或采购代理机构</w:t>
      </w:r>
      <w:r>
        <w:rPr>
          <w:rFonts w:hint="eastAsia"/>
          <w:color w:val="auto"/>
          <w:highlight w:val="none"/>
        </w:rPr>
        <w:t>可以对已发出的磋商文件进行必要的澄清或者修改，澄清或者修改的内容作为磋商文件的</w:t>
      </w:r>
      <w:r>
        <w:rPr>
          <w:rFonts w:hint="eastAsia"/>
          <w:color w:val="auto"/>
          <w:highlight w:val="none"/>
          <w:lang w:val="en-US" w:eastAsia="zh-CN"/>
        </w:rPr>
        <w:t>重要</w:t>
      </w:r>
      <w:r>
        <w:rPr>
          <w:rFonts w:hint="eastAsia"/>
          <w:color w:val="auto"/>
          <w:highlight w:val="none"/>
        </w:rPr>
        <w:t>组成部分。</w:t>
      </w:r>
    </w:p>
    <w:p w14:paraId="2977060D">
      <w:pPr>
        <w:bidi w:val="0"/>
        <w:rPr>
          <w:rFonts w:hint="eastAsia"/>
          <w:color w:val="auto"/>
          <w:highlight w:val="none"/>
        </w:rPr>
      </w:pPr>
      <w:r>
        <w:rPr>
          <w:rFonts w:hint="eastAsia"/>
          <w:color w:val="auto"/>
          <w:highlight w:val="none"/>
        </w:rPr>
        <w:t>7.2澄清或者修改的内容可能影响响应文件编制的，</w:t>
      </w:r>
      <w:r>
        <w:rPr>
          <w:rFonts w:hint="eastAsia"/>
          <w:color w:val="auto"/>
          <w:highlight w:val="none"/>
          <w:lang w:val="en-US" w:eastAsia="zh-CN"/>
        </w:rPr>
        <w:t>采购人或采购代理机构</w:t>
      </w:r>
      <w:r>
        <w:rPr>
          <w:rFonts w:hint="eastAsia"/>
          <w:color w:val="auto"/>
          <w:highlight w:val="none"/>
        </w:rPr>
        <w:t>应当在</w:t>
      </w:r>
      <w:r>
        <w:rPr>
          <w:rFonts w:hint="eastAsia"/>
          <w:color w:val="auto"/>
          <w:highlight w:val="none"/>
          <w:lang w:val="en-US" w:eastAsia="zh-CN"/>
        </w:rPr>
        <w:t>提交首次</w:t>
      </w:r>
      <w:r>
        <w:rPr>
          <w:rFonts w:hint="eastAsia"/>
          <w:color w:val="auto"/>
          <w:highlight w:val="none"/>
        </w:rPr>
        <w:t>响应文件截止之日</w:t>
      </w:r>
      <w:r>
        <w:rPr>
          <w:rFonts w:hint="eastAsia"/>
          <w:color w:val="auto"/>
          <w:highlight w:val="none"/>
          <w:u w:val="none"/>
          <w:lang w:val="en-US" w:eastAsia="zh-CN"/>
        </w:rPr>
        <w:t>1</w:t>
      </w:r>
      <w:r>
        <w:rPr>
          <w:rFonts w:hint="eastAsia"/>
          <w:color w:val="auto"/>
          <w:highlight w:val="none"/>
          <w:u w:val="none"/>
        </w:rPr>
        <w:t>个工作日前，</w:t>
      </w:r>
      <w:r>
        <w:rPr>
          <w:rFonts w:hint="eastAsia"/>
          <w:color w:val="auto"/>
          <w:highlight w:val="none"/>
          <w:u w:val="none"/>
          <w:lang w:val="en-US" w:eastAsia="zh-CN"/>
        </w:rPr>
        <w:t>在萍乡建工集团智慧采购平台上发布更正公告，</w:t>
      </w:r>
      <w:r>
        <w:rPr>
          <w:rFonts w:hint="eastAsia"/>
          <w:color w:val="auto"/>
          <w:highlight w:val="none"/>
          <w:u w:val="none"/>
        </w:rPr>
        <w:t>不足</w:t>
      </w:r>
      <w:r>
        <w:rPr>
          <w:rFonts w:hint="eastAsia"/>
          <w:color w:val="auto"/>
          <w:highlight w:val="none"/>
          <w:u w:val="none"/>
          <w:lang w:val="en-US" w:eastAsia="zh-CN"/>
        </w:rPr>
        <w:t>1</w:t>
      </w:r>
      <w:r>
        <w:rPr>
          <w:rFonts w:hint="eastAsia"/>
          <w:color w:val="auto"/>
          <w:highlight w:val="none"/>
          <w:u w:val="none"/>
        </w:rPr>
        <w:t>日</w:t>
      </w:r>
      <w:r>
        <w:rPr>
          <w:rFonts w:hint="eastAsia"/>
          <w:color w:val="auto"/>
          <w:highlight w:val="none"/>
        </w:rPr>
        <w:t>的，应当顺延提交首次响应文件截止之日。</w:t>
      </w:r>
    </w:p>
    <w:p w14:paraId="3C066F5C">
      <w:pPr>
        <w:bidi w:val="0"/>
        <w:rPr>
          <w:color w:val="auto"/>
          <w:highlight w:val="none"/>
        </w:rPr>
      </w:pPr>
      <w:r>
        <w:rPr>
          <w:rFonts w:hint="eastAsia"/>
          <w:color w:val="auto"/>
          <w:highlight w:val="none"/>
        </w:rPr>
        <w:t>7.3 供应商在收到上述通知后，应立即向</w:t>
      </w:r>
      <w:r>
        <w:rPr>
          <w:rFonts w:hint="eastAsia"/>
          <w:color w:val="auto"/>
          <w:highlight w:val="none"/>
          <w:lang w:val="en-US" w:eastAsia="zh-CN"/>
        </w:rPr>
        <w:t>采购人</w:t>
      </w:r>
      <w:r>
        <w:rPr>
          <w:rFonts w:hint="eastAsia"/>
          <w:color w:val="auto"/>
          <w:highlight w:val="none"/>
        </w:rPr>
        <w:t>回函确认。</w:t>
      </w:r>
    </w:p>
    <w:p w14:paraId="16892EEA">
      <w:pPr>
        <w:bidi w:val="0"/>
        <w:rPr>
          <w:b/>
          <w:bCs/>
          <w:color w:val="auto"/>
          <w:highlight w:val="none"/>
        </w:rPr>
      </w:pPr>
      <w:bookmarkStart w:id="162" w:name="_Toc495487710"/>
      <w:bookmarkStart w:id="163" w:name="_Toc499477410"/>
      <w:bookmarkStart w:id="164" w:name="_Toc501101639"/>
      <w:r>
        <w:rPr>
          <w:rFonts w:hint="eastAsia"/>
          <w:b/>
          <w:bCs/>
          <w:color w:val="auto"/>
          <w:highlight w:val="none"/>
        </w:rPr>
        <w:t>8. 供应商应当提交的资格、资信证明文件</w:t>
      </w:r>
      <w:bookmarkEnd w:id="162"/>
      <w:bookmarkEnd w:id="163"/>
      <w:bookmarkEnd w:id="164"/>
    </w:p>
    <w:p w14:paraId="24FCD974">
      <w:pPr>
        <w:rPr>
          <w:rFonts w:hint="default"/>
          <w:color w:val="auto"/>
          <w:highlight w:val="none"/>
          <w:lang w:val="en-US" w:eastAsia="zh-CN"/>
        </w:rPr>
      </w:pPr>
      <w:r>
        <w:rPr>
          <w:rFonts w:hint="eastAsia"/>
          <w:color w:val="auto"/>
          <w:highlight w:val="none"/>
          <w:lang w:val="en-US" w:eastAsia="zh-CN"/>
        </w:rPr>
        <w:t>详见“第四章 响应文件格式”--格式8资格证明文件。</w:t>
      </w:r>
    </w:p>
    <w:p w14:paraId="75135035">
      <w:pPr>
        <w:pStyle w:val="3"/>
        <w:numPr>
          <w:ilvl w:val="0"/>
          <w:numId w:val="0"/>
        </w:numPr>
        <w:bidi w:val="0"/>
        <w:ind w:left="0" w:leftChars="0" w:firstLine="480" w:firstLineChars="200"/>
        <w:rPr>
          <w:highlight w:val="none"/>
        </w:rPr>
      </w:pPr>
      <w:bookmarkStart w:id="165" w:name="_Toc6114"/>
      <w:bookmarkStart w:id="166" w:name="_Toc30699"/>
      <w:bookmarkStart w:id="167" w:name="_Toc23875"/>
      <w:bookmarkStart w:id="168" w:name="_Toc28892"/>
      <w:bookmarkStart w:id="169" w:name="_Toc28988"/>
      <w:bookmarkStart w:id="170" w:name="_Toc29652"/>
      <w:bookmarkStart w:id="171" w:name="_Toc26054"/>
      <w:bookmarkStart w:id="172" w:name="_Toc13806"/>
      <w:bookmarkStart w:id="173" w:name="_Toc505020156"/>
      <w:bookmarkStart w:id="174" w:name="_Toc13500"/>
      <w:r>
        <w:rPr>
          <w:rFonts w:hint="eastAsia" w:ascii="仿宋_GB2312" w:hAnsi="仿宋_GB2312" w:eastAsia="仿宋_GB2312" w:cs="Times New Roman"/>
          <w:b/>
          <w:bCs/>
          <w:kern w:val="2"/>
          <w:sz w:val="24"/>
          <w:szCs w:val="32"/>
          <w:lang w:val="en-US" w:eastAsia="zh-CN" w:bidi="ar-SA"/>
        </w:rPr>
        <w:t>四、</w:t>
      </w:r>
      <w:r>
        <w:rPr>
          <w:rFonts w:hint="eastAsia"/>
          <w:highlight w:val="none"/>
        </w:rPr>
        <w:t>响应文件的编制</w:t>
      </w:r>
      <w:bookmarkEnd w:id="165"/>
      <w:bookmarkEnd w:id="166"/>
      <w:bookmarkEnd w:id="167"/>
      <w:bookmarkEnd w:id="168"/>
      <w:bookmarkEnd w:id="169"/>
      <w:bookmarkEnd w:id="170"/>
      <w:bookmarkEnd w:id="171"/>
      <w:bookmarkEnd w:id="172"/>
      <w:bookmarkEnd w:id="173"/>
      <w:bookmarkEnd w:id="174"/>
    </w:p>
    <w:p w14:paraId="342A0610">
      <w:pPr>
        <w:bidi w:val="0"/>
        <w:rPr>
          <w:b/>
          <w:bCs/>
          <w:color w:val="auto"/>
          <w:highlight w:val="none"/>
        </w:rPr>
      </w:pPr>
      <w:r>
        <w:rPr>
          <w:rFonts w:hint="eastAsia"/>
          <w:b/>
          <w:bCs/>
          <w:color w:val="auto"/>
          <w:highlight w:val="none"/>
          <w:lang w:val="en-US" w:eastAsia="zh-CN"/>
        </w:rPr>
        <w:t>9</w:t>
      </w:r>
      <w:r>
        <w:rPr>
          <w:rFonts w:hint="eastAsia"/>
          <w:b/>
          <w:bCs/>
          <w:color w:val="auto"/>
          <w:highlight w:val="none"/>
        </w:rPr>
        <w:t>.提示</w:t>
      </w:r>
    </w:p>
    <w:p w14:paraId="7F308AE6">
      <w:pPr>
        <w:bidi w:val="0"/>
        <w:rPr>
          <w:color w:val="auto"/>
          <w:highlight w:val="none"/>
        </w:rPr>
      </w:pPr>
      <w:r>
        <w:rPr>
          <w:rFonts w:hint="eastAsia"/>
          <w:color w:val="auto"/>
          <w:highlight w:val="none"/>
          <w:lang w:val="en-US" w:eastAsia="zh-CN"/>
        </w:rPr>
        <w:t>9</w:t>
      </w:r>
      <w:r>
        <w:rPr>
          <w:rFonts w:hint="eastAsia"/>
          <w:color w:val="auto"/>
          <w:highlight w:val="none"/>
        </w:rPr>
        <w:t>.1 供应商应认真阅读磋商文件的全部内容，按照磋商文件要求提供响应文件和资料。</w:t>
      </w:r>
    </w:p>
    <w:p w14:paraId="0587BD9B">
      <w:pPr>
        <w:bidi w:val="0"/>
        <w:rPr>
          <w:color w:val="auto"/>
          <w:highlight w:val="none"/>
        </w:rPr>
      </w:pPr>
      <w:r>
        <w:rPr>
          <w:rFonts w:hint="eastAsia"/>
          <w:color w:val="auto"/>
          <w:highlight w:val="none"/>
          <w:lang w:val="en-US" w:eastAsia="zh-CN"/>
        </w:rPr>
        <w:t>9</w:t>
      </w:r>
      <w:r>
        <w:rPr>
          <w:rFonts w:hint="eastAsia"/>
          <w:color w:val="auto"/>
          <w:highlight w:val="none"/>
        </w:rPr>
        <w:t>.2供应商提交的响应文件以及供应商与</w:t>
      </w:r>
      <w:r>
        <w:rPr>
          <w:rFonts w:hint="eastAsia"/>
          <w:color w:val="auto"/>
          <w:highlight w:val="none"/>
          <w:lang w:val="en-US" w:eastAsia="zh-CN"/>
        </w:rPr>
        <w:t>采购人</w:t>
      </w:r>
      <w:r>
        <w:rPr>
          <w:rFonts w:hint="eastAsia"/>
          <w:color w:val="auto"/>
          <w:highlight w:val="none"/>
        </w:rPr>
        <w:t>所有来往书面文件均须使用中文。响应文件中如附有外文资料，必须逐一对应翻译成中文。</w:t>
      </w:r>
    </w:p>
    <w:p w14:paraId="591104D2">
      <w:pPr>
        <w:bidi w:val="0"/>
        <w:rPr>
          <w:color w:val="auto"/>
          <w:highlight w:val="none"/>
        </w:rPr>
      </w:pPr>
      <w:r>
        <w:rPr>
          <w:rFonts w:hint="eastAsia"/>
          <w:color w:val="auto"/>
          <w:highlight w:val="none"/>
          <w:lang w:val="en-US" w:eastAsia="zh-CN"/>
        </w:rPr>
        <w:t>9</w:t>
      </w:r>
      <w:r>
        <w:rPr>
          <w:rFonts w:hint="eastAsia"/>
          <w:color w:val="auto"/>
          <w:highlight w:val="none"/>
        </w:rPr>
        <w:t>.3翻译的中文资料与外文资料如果出现差异和矛盾时，以中文为准。</w:t>
      </w:r>
    </w:p>
    <w:p w14:paraId="1029A3A7">
      <w:pPr>
        <w:bidi w:val="0"/>
        <w:rPr>
          <w:b/>
          <w:bCs/>
          <w:color w:val="auto"/>
          <w:highlight w:val="none"/>
        </w:rPr>
      </w:pPr>
      <w:r>
        <w:rPr>
          <w:rFonts w:hint="eastAsia"/>
          <w:b/>
          <w:bCs/>
          <w:color w:val="auto"/>
          <w:highlight w:val="none"/>
          <w:lang w:val="en-US" w:eastAsia="zh-CN"/>
        </w:rPr>
        <w:t>10.</w:t>
      </w:r>
      <w:r>
        <w:rPr>
          <w:rFonts w:hint="eastAsia"/>
          <w:b/>
          <w:bCs/>
          <w:color w:val="auto"/>
          <w:highlight w:val="none"/>
        </w:rPr>
        <w:t>计量单位</w:t>
      </w:r>
    </w:p>
    <w:p w14:paraId="7590CFCB">
      <w:pPr>
        <w:bidi w:val="0"/>
        <w:rPr>
          <w:color w:val="auto"/>
          <w:highlight w:val="none"/>
        </w:rPr>
      </w:pPr>
      <w:r>
        <w:rPr>
          <w:rFonts w:hint="eastAsia"/>
          <w:color w:val="auto"/>
          <w:highlight w:val="none"/>
          <w:lang w:val="en-US" w:eastAsia="zh-CN"/>
        </w:rPr>
        <w:t>10</w:t>
      </w:r>
      <w:r>
        <w:rPr>
          <w:rFonts w:hint="eastAsia"/>
          <w:color w:val="auto"/>
          <w:highlight w:val="none"/>
        </w:rPr>
        <w:t>.1响应文件中所使用的计量单位</w:t>
      </w:r>
      <w:r>
        <w:rPr>
          <w:rFonts w:hint="eastAsia"/>
          <w:color w:val="auto"/>
          <w:highlight w:val="none"/>
          <w:lang w:eastAsia="zh-CN"/>
        </w:rPr>
        <w:t>，</w:t>
      </w:r>
      <w:r>
        <w:rPr>
          <w:rFonts w:hint="eastAsia"/>
          <w:color w:val="auto"/>
          <w:highlight w:val="none"/>
        </w:rPr>
        <w:t>除磋商文件中有特殊要求外，应采用国家法定计量单位。</w:t>
      </w:r>
    </w:p>
    <w:p w14:paraId="0DA25EA5">
      <w:pPr>
        <w:bidi w:val="0"/>
        <w:rPr>
          <w:b/>
          <w:bCs/>
          <w:color w:val="auto"/>
          <w:highlight w:val="none"/>
        </w:rPr>
      </w:pPr>
      <w:r>
        <w:rPr>
          <w:rFonts w:hint="eastAsia"/>
          <w:b/>
          <w:bCs/>
          <w:color w:val="auto"/>
          <w:highlight w:val="none"/>
          <w:lang w:val="en-US" w:eastAsia="zh-CN"/>
        </w:rPr>
        <w:t>11.</w:t>
      </w:r>
      <w:r>
        <w:rPr>
          <w:rFonts w:hint="eastAsia"/>
          <w:b/>
          <w:bCs/>
          <w:color w:val="auto"/>
          <w:highlight w:val="none"/>
        </w:rPr>
        <w:t>响应文件的构成</w:t>
      </w:r>
    </w:p>
    <w:p w14:paraId="37FB48F2">
      <w:pPr>
        <w:bidi w:val="0"/>
        <w:rPr>
          <w:color w:val="auto"/>
          <w:highlight w:val="none"/>
        </w:rPr>
      </w:pPr>
      <w:r>
        <w:rPr>
          <w:rFonts w:hint="eastAsia"/>
          <w:color w:val="auto"/>
          <w:highlight w:val="none"/>
          <w:lang w:val="en-US" w:eastAsia="zh-CN"/>
        </w:rPr>
        <w:t>11</w:t>
      </w:r>
      <w:r>
        <w:rPr>
          <w:rFonts w:hint="eastAsia"/>
          <w:color w:val="auto"/>
          <w:highlight w:val="none"/>
        </w:rPr>
        <w:t>.1响应文件应由下列部分构成：</w:t>
      </w:r>
    </w:p>
    <w:p w14:paraId="458A2C7B">
      <w:pPr>
        <w:bidi w:val="0"/>
        <w:rPr>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磋商响应书</w:t>
      </w:r>
    </w:p>
    <w:p w14:paraId="24C6326E">
      <w:pPr>
        <w:bidi w:val="0"/>
        <w:rPr>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报价表</w:t>
      </w:r>
    </w:p>
    <w:p w14:paraId="2324EA18">
      <w:pPr>
        <w:bidi w:val="0"/>
        <w:rPr>
          <w:color w:val="auto"/>
          <w:highlight w:val="none"/>
        </w:rPr>
      </w:pPr>
      <w:r>
        <w:rPr>
          <w:rFonts w:hint="eastAsia"/>
          <w:color w:val="auto"/>
          <w:highlight w:val="none"/>
          <w:lang w:eastAsia="zh-CN"/>
        </w:rPr>
        <w:t>（</w:t>
      </w:r>
      <w:r>
        <w:rPr>
          <w:rFonts w:hint="eastAsia" w:cs="Times New Roman"/>
          <w:color w:val="auto"/>
          <w:highlight w:val="none"/>
          <w:lang w:val="en-US" w:eastAsia="zh-CN"/>
        </w:rPr>
        <w:t>3</w:t>
      </w:r>
      <w:r>
        <w:rPr>
          <w:rFonts w:hint="eastAsia" w:cs="Times New Roman"/>
          <w:color w:val="auto"/>
          <w:highlight w:val="none"/>
          <w:lang w:eastAsia="zh-CN"/>
        </w:rPr>
        <w:t>）</w:t>
      </w:r>
      <w:r>
        <w:rPr>
          <w:rFonts w:hint="eastAsia" w:cs="Times New Roman"/>
          <w:color w:val="auto"/>
          <w:highlight w:val="none"/>
          <w:lang w:val="en-US" w:eastAsia="zh-CN"/>
        </w:rPr>
        <w:t>偏差表</w:t>
      </w:r>
    </w:p>
    <w:p w14:paraId="6611686B">
      <w:pPr>
        <w:bidi w:val="0"/>
        <w:rPr>
          <w:color w:val="auto"/>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rPr>
        <w:t>供应商情况一览表</w:t>
      </w:r>
    </w:p>
    <w:p w14:paraId="5FDDB3CC">
      <w:pPr>
        <w:bidi w:val="0"/>
        <w:rPr>
          <w:rFonts w:hint="default" w:eastAsia="仿宋"/>
          <w:color w:val="auto"/>
          <w:highlight w:val="none"/>
          <w:lang w:val="en-US" w:eastAsia="zh-CN"/>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color w:val="auto"/>
          <w:highlight w:val="none"/>
          <w:lang w:val="en-US" w:eastAsia="zh-CN"/>
        </w:rPr>
        <w:t>技术文件</w:t>
      </w:r>
    </w:p>
    <w:p w14:paraId="630DD674">
      <w:pPr>
        <w:bidi w:val="0"/>
        <w:rPr>
          <w:color w:val="auto"/>
          <w:highlight w:val="none"/>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w:t>
      </w:r>
      <w:r>
        <w:rPr>
          <w:rFonts w:hint="eastAsia" w:cs="Times New Roman"/>
          <w:highlight w:val="none"/>
          <w:lang w:val="en-US" w:eastAsia="zh-CN"/>
        </w:rPr>
        <w:t>资格证明文件</w:t>
      </w:r>
    </w:p>
    <w:p w14:paraId="5B798A36">
      <w:pPr>
        <w:bidi w:val="0"/>
        <w:rPr>
          <w:rFonts w:hint="eastAsia"/>
          <w:color w:val="auto"/>
          <w:highlight w:val="none"/>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w:t>
      </w:r>
      <w:r>
        <w:rPr>
          <w:rFonts w:hint="eastAsia"/>
          <w:color w:val="auto"/>
          <w:highlight w:val="none"/>
        </w:rPr>
        <w:t>磋商保证金</w:t>
      </w:r>
      <w:r>
        <w:rPr>
          <w:rFonts w:hint="eastAsia"/>
          <w:color w:val="auto"/>
          <w:highlight w:val="none"/>
          <w:lang w:val="en-US" w:eastAsia="zh-CN"/>
        </w:rPr>
        <w:t>凭证</w:t>
      </w:r>
    </w:p>
    <w:p w14:paraId="72991531">
      <w:pPr>
        <w:bidi w:val="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8</w:t>
      </w:r>
      <w:r>
        <w:rPr>
          <w:rFonts w:hint="eastAsia"/>
          <w:color w:val="auto"/>
          <w:highlight w:val="none"/>
          <w:lang w:eastAsia="zh-CN"/>
        </w:rPr>
        <w:t>）</w:t>
      </w:r>
      <w:r>
        <w:rPr>
          <w:rFonts w:hint="eastAsia"/>
          <w:color w:val="auto"/>
          <w:highlight w:val="none"/>
        </w:rPr>
        <w:t>法定代表人身份证明书</w:t>
      </w:r>
    </w:p>
    <w:p w14:paraId="0168CD34">
      <w:pPr>
        <w:bidi w:val="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（9）法定代表人授权书</w:t>
      </w:r>
    </w:p>
    <w:p w14:paraId="2F3B613B">
      <w:pPr>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（10）磋商文件要求提供或评审计分有关的其他材料</w:t>
      </w:r>
    </w:p>
    <w:p w14:paraId="0531A5A2">
      <w:pPr>
        <w:bidi w:val="0"/>
        <w:rPr>
          <w:color w:val="auto"/>
          <w:highlight w:val="none"/>
        </w:rPr>
      </w:pPr>
      <w:r>
        <w:rPr>
          <w:rFonts w:hint="eastAsia"/>
          <w:color w:val="auto"/>
          <w:highlight w:val="none"/>
          <w:lang w:val="en-US" w:eastAsia="zh-CN"/>
        </w:rPr>
        <w:t>11</w:t>
      </w:r>
      <w:r>
        <w:rPr>
          <w:rFonts w:hint="eastAsia"/>
          <w:color w:val="auto"/>
          <w:highlight w:val="none"/>
        </w:rPr>
        <w:t>.2供应商应将响应文件胶装成册，并编写目录及页码。</w:t>
      </w:r>
    </w:p>
    <w:p w14:paraId="4122E798">
      <w:pPr>
        <w:bidi w:val="0"/>
        <w:rPr>
          <w:b/>
          <w:bCs/>
          <w:color w:val="auto"/>
          <w:highlight w:val="none"/>
        </w:rPr>
      </w:pPr>
      <w:r>
        <w:rPr>
          <w:rFonts w:hint="eastAsia"/>
          <w:b/>
          <w:bCs/>
          <w:color w:val="auto"/>
          <w:highlight w:val="none"/>
          <w:lang w:val="en-US" w:eastAsia="zh-CN"/>
        </w:rPr>
        <w:t>12</w:t>
      </w:r>
      <w:r>
        <w:rPr>
          <w:rFonts w:hint="eastAsia"/>
          <w:b/>
          <w:bCs/>
          <w:color w:val="auto"/>
          <w:highlight w:val="none"/>
        </w:rPr>
        <w:t>. 证明符合磋商文件规定的文件</w:t>
      </w:r>
    </w:p>
    <w:p w14:paraId="455FC270">
      <w:pPr>
        <w:bidi w:val="0"/>
        <w:rPr>
          <w:color w:val="auto"/>
          <w:highlight w:val="none"/>
        </w:rPr>
      </w:pPr>
      <w:r>
        <w:rPr>
          <w:rFonts w:hint="eastAsia"/>
          <w:color w:val="auto"/>
          <w:highlight w:val="none"/>
          <w:lang w:val="en-US" w:eastAsia="zh-CN"/>
        </w:rPr>
        <w:t>12</w:t>
      </w:r>
      <w:r>
        <w:rPr>
          <w:rFonts w:hint="eastAsia"/>
          <w:color w:val="auto"/>
          <w:highlight w:val="none"/>
        </w:rPr>
        <w:t>.1 供应商应提交其提供的有关</w:t>
      </w:r>
      <w:r>
        <w:rPr>
          <w:rFonts w:hint="eastAsia"/>
          <w:color w:val="auto"/>
          <w:highlight w:val="none"/>
          <w:lang w:val="en-US" w:eastAsia="zh-CN"/>
        </w:rPr>
        <w:t>服务</w:t>
      </w:r>
      <w:r>
        <w:rPr>
          <w:rFonts w:hint="eastAsia"/>
          <w:color w:val="auto"/>
          <w:highlight w:val="none"/>
        </w:rPr>
        <w:t>符合磋商文件规定的证明，作为响应文件的一部分。</w:t>
      </w:r>
    </w:p>
    <w:p w14:paraId="0DD2BA84">
      <w:pPr>
        <w:bidi w:val="0"/>
        <w:rPr>
          <w:color w:val="auto"/>
          <w:highlight w:val="none"/>
        </w:rPr>
      </w:pPr>
      <w:r>
        <w:rPr>
          <w:rFonts w:hint="eastAsia"/>
          <w:color w:val="auto"/>
          <w:highlight w:val="none"/>
          <w:lang w:val="en-US" w:eastAsia="zh-CN"/>
        </w:rPr>
        <w:t>12</w:t>
      </w:r>
      <w:r>
        <w:rPr>
          <w:rFonts w:hint="eastAsia"/>
          <w:color w:val="auto"/>
          <w:highlight w:val="none"/>
        </w:rPr>
        <w:t>.2有关</w:t>
      </w:r>
      <w:r>
        <w:rPr>
          <w:rFonts w:hint="eastAsia"/>
          <w:color w:val="auto"/>
          <w:highlight w:val="none"/>
          <w:lang w:val="en-US" w:eastAsia="zh-CN"/>
        </w:rPr>
        <w:t>服务</w:t>
      </w:r>
      <w:r>
        <w:rPr>
          <w:rFonts w:hint="eastAsia"/>
          <w:color w:val="auto"/>
          <w:highlight w:val="none"/>
        </w:rPr>
        <w:t>与磋商文件的要求相一致的证明，可以是文字资料、图纸和数据，包括：</w:t>
      </w:r>
    </w:p>
    <w:p w14:paraId="0DF1191F">
      <w:pPr>
        <w:bidi w:val="0"/>
        <w:rPr>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lang w:val="en-US" w:eastAsia="zh-CN"/>
        </w:rPr>
        <w:t>服务</w:t>
      </w:r>
      <w:r>
        <w:rPr>
          <w:rFonts w:hint="eastAsia"/>
          <w:color w:val="auto"/>
          <w:highlight w:val="none"/>
        </w:rPr>
        <w:t>主要技术指标和详细说明。</w:t>
      </w:r>
    </w:p>
    <w:p w14:paraId="3022BE4C">
      <w:pPr>
        <w:bidi w:val="0"/>
        <w:rPr>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对照磋商文件</w:t>
      </w:r>
      <w:r>
        <w:rPr>
          <w:rFonts w:hint="eastAsia"/>
          <w:color w:val="auto"/>
          <w:highlight w:val="none"/>
          <w:lang w:val="en-US" w:eastAsia="zh-CN"/>
        </w:rPr>
        <w:t>服务</w:t>
      </w:r>
      <w:r>
        <w:rPr>
          <w:rFonts w:hint="eastAsia"/>
          <w:color w:val="auto"/>
          <w:highlight w:val="none"/>
        </w:rPr>
        <w:t>要求，逐条说明所提供相关</w:t>
      </w:r>
      <w:r>
        <w:rPr>
          <w:rFonts w:hint="eastAsia"/>
          <w:color w:val="auto"/>
          <w:highlight w:val="none"/>
          <w:lang w:val="en-US" w:eastAsia="zh-CN"/>
        </w:rPr>
        <w:t>服务</w:t>
      </w:r>
      <w:r>
        <w:rPr>
          <w:rFonts w:hint="eastAsia"/>
          <w:color w:val="auto"/>
          <w:highlight w:val="none"/>
        </w:rPr>
        <w:t>已对磋商文件的</w:t>
      </w:r>
      <w:r>
        <w:rPr>
          <w:rFonts w:hint="eastAsia"/>
          <w:color w:val="auto"/>
          <w:highlight w:val="none"/>
          <w:lang w:val="en-US" w:eastAsia="zh-CN"/>
        </w:rPr>
        <w:t>服务</w:t>
      </w:r>
      <w:r>
        <w:rPr>
          <w:rFonts w:hint="eastAsia"/>
          <w:color w:val="auto"/>
          <w:highlight w:val="none"/>
        </w:rPr>
        <w:t>要求做出了实质性响应，或申明与</w:t>
      </w:r>
      <w:r>
        <w:rPr>
          <w:rFonts w:hint="eastAsia"/>
          <w:color w:val="auto"/>
          <w:highlight w:val="none"/>
          <w:lang w:val="en-US" w:eastAsia="zh-CN"/>
        </w:rPr>
        <w:t>服务</w:t>
      </w:r>
      <w:r>
        <w:rPr>
          <w:rFonts w:hint="eastAsia"/>
          <w:color w:val="auto"/>
          <w:highlight w:val="none"/>
        </w:rPr>
        <w:t>要求的偏差和例外。</w:t>
      </w:r>
    </w:p>
    <w:p w14:paraId="075459C8">
      <w:pPr>
        <w:bidi w:val="0"/>
        <w:rPr>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商务条款的偏差和例外。</w:t>
      </w:r>
    </w:p>
    <w:p w14:paraId="0C627EB9">
      <w:pPr>
        <w:bidi w:val="0"/>
        <w:rPr>
          <w:rFonts w:hint="eastAsia" w:cs="Times New Roman"/>
          <w:b/>
          <w:bCs/>
          <w:color w:val="auto"/>
          <w:highlight w:val="none"/>
          <w:lang w:val="en-US" w:eastAsia="zh-CN"/>
        </w:rPr>
      </w:pPr>
      <w:r>
        <w:rPr>
          <w:rFonts w:hint="eastAsia" w:cs="Times New Roman"/>
          <w:b/>
          <w:bCs/>
          <w:color w:val="auto"/>
          <w:highlight w:val="none"/>
          <w:lang w:val="en-US" w:eastAsia="zh-CN"/>
        </w:rPr>
        <w:t>13. 磋商报价</w:t>
      </w:r>
    </w:p>
    <w:p w14:paraId="586ED116">
      <w:pPr>
        <w:bidi w:val="0"/>
        <w:rPr>
          <w:color w:val="auto"/>
          <w:highlight w:val="none"/>
        </w:rPr>
      </w:pPr>
      <w:r>
        <w:rPr>
          <w:rFonts w:hint="eastAsia"/>
          <w:color w:val="auto"/>
          <w:highlight w:val="none"/>
          <w:lang w:val="en-US" w:eastAsia="zh-CN"/>
        </w:rPr>
        <w:t>13</w:t>
      </w:r>
      <w:r>
        <w:rPr>
          <w:rFonts w:hint="eastAsia"/>
          <w:color w:val="auto"/>
          <w:highlight w:val="none"/>
        </w:rPr>
        <w:t>.1磋商报价均以人民币报价，报价内容包含磋商文件规定的完成相关</w:t>
      </w:r>
      <w:r>
        <w:rPr>
          <w:rFonts w:hint="eastAsia"/>
          <w:color w:val="auto"/>
          <w:highlight w:val="none"/>
          <w:lang w:val="en-US" w:eastAsia="zh-CN"/>
        </w:rPr>
        <w:t>服务</w:t>
      </w:r>
      <w:r>
        <w:rPr>
          <w:rFonts w:hint="eastAsia"/>
          <w:color w:val="auto"/>
          <w:highlight w:val="none"/>
        </w:rPr>
        <w:t>所需的一切相关费用。</w:t>
      </w:r>
    </w:p>
    <w:p w14:paraId="514E8F76">
      <w:pPr>
        <w:bidi w:val="0"/>
        <w:rPr>
          <w:color w:val="auto"/>
          <w:highlight w:val="none"/>
        </w:rPr>
      </w:pPr>
      <w:r>
        <w:rPr>
          <w:rFonts w:hint="eastAsia"/>
          <w:color w:val="auto"/>
          <w:highlight w:val="none"/>
          <w:lang w:val="en-US" w:eastAsia="zh-CN"/>
        </w:rPr>
        <w:t>13</w:t>
      </w:r>
      <w:r>
        <w:rPr>
          <w:rFonts w:hint="eastAsia"/>
          <w:color w:val="auto"/>
          <w:highlight w:val="none"/>
        </w:rPr>
        <w:t>.2供应商要按报价表（统一格式）和分项报价表（统一格式）的内容填写报价及其他事项。</w:t>
      </w:r>
    </w:p>
    <w:p w14:paraId="0D1034CE">
      <w:pPr>
        <w:bidi w:val="0"/>
        <w:rPr>
          <w:rFonts w:hint="eastAsia"/>
          <w:color w:val="auto"/>
          <w:highlight w:val="none"/>
        </w:rPr>
      </w:pPr>
      <w:r>
        <w:rPr>
          <w:rFonts w:hint="eastAsia"/>
          <w:color w:val="auto"/>
          <w:highlight w:val="none"/>
          <w:lang w:val="en-US" w:eastAsia="zh-CN"/>
        </w:rPr>
        <w:t>13</w:t>
      </w:r>
      <w:r>
        <w:rPr>
          <w:rFonts w:hint="eastAsia"/>
          <w:color w:val="auto"/>
          <w:highlight w:val="none"/>
        </w:rPr>
        <w:t>.3磋商报价中不得缺漏磋商文件所要求的内容，缺漏部分成交后须按磋商文件要求提供，且成交价以磋商报价为准；若供应商不同意，将被视为响应无效。</w:t>
      </w:r>
    </w:p>
    <w:p w14:paraId="418490A3">
      <w:pPr>
        <w:bidi w:val="0"/>
        <w:rPr>
          <w:rFonts w:hint="eastAsia"/>
          <w:b/>
          <w:bCs/>
          <w:color w:val="auto"/>
          <w:highlight w:val="none"/>
          <w:lang w:val="en-US" w:eastAsia="zh-CN"/>
        </w:rPr>
      </w:pPr>
      <w:r>
        <w:rPr>
          <w:rFonts w:hint="eastAsia" w:cs="Times New Roman"/>
          <w:b/>
          <w:bCs/>
          <w:color w:val="auto"/>
          <w:highlight w:val="none"/>
          <w:lang w:val="en-US" w:eastAsia="zh-CN"/>
        </w:rPr>
        <w:t>13.4响应</w:t>
      </w:r>
      <w:r>
        <w:rPr>
          <w:rFonts w:hint="eastAsia"/>
          <w:b/>
          <w:bCs/>
          <w:color w:val="auto"/>
          <w:highlight w:val="none"/>
          <w:lang w:val="en-US" w:eastAsia="zh-CN"/>
        </w:rPr>
        <w:t>文件中《报价表》内容与《分项报价表》中明细表内容不一致的，以《报价表》为准；响应文件的大写金额和小写金额不一致的，以大写金额为准；总价金额与按单价汇总金额不一致的，以单价金额计算结果为准；单价金额小数点有明显错位的，应以总价为准，并修改单价。</w:t>
      </w:r>
    </w:p>
    <w:p w14:paraId="16651C3F">
      <w:pPr>
        <w:bidi w:val="0"/>
        <w:rPr>
          <w:b/>
          <w:bCs/>
          <w:color w:val="auto"/>
          <w:highlight w:val="none"/>
        </w:rPr>
      </w:pPr>
      <w:r>
        <w:rPr>
          <w:rFonts w:hint="eastAsia"/>
          <w:b/>
          <w:bCs/>
          <w:color w:val="auto"/>
          <w:highlight w:val="none"/>
          <w:lang w:val="en-US" w:eastAsia="zh-CN"/>
        </w:rPr>
        <w:t>14</w:t>
      </w:r>
      <w:r>
        <w:rPr>
          <w:rFonts w:hint="eastAsia"/>
          <w:b/>
          <w:bCs/>
          <w:color w:val="auto"/>
          <w:highlight w:val="none"/>
        </w:rPr>
        <w:t>. 磋商保证金</w:t>
      </w:r>
    </w:p>
    <w:p w14:paraId="679504E7">
      <w:pPr>
        <w:bidi w:val="0"/>
        <w:rPr>
          <w:color w:val="auto"/>
          <w:highlight w:val="none"/>
        </w:rPr>
      </w:pPr>
      <w:r>
        <w:rPr>
          <w:rFonts w:hint="eastAsia"/>
          <w:color w:val="auto"/>
          <w:highlight w:val="none"/>
          <w:lang w:val="en-US" w:eastAsia="zh-CN"/>
        </w:rPr>
        <w:t>14</w:t>
      </w:r>
      <w:r>
        <w:rPr>
          <w:rFonts w:hint="eastAsia"/>
          <w:color w:val="auto"/>
          <w:highlight w:val="none"/>
        </w:rPr>
        <w:t>.1供应商须在响应文件递交截止时间之前向</w:t>
      </w:r>
      <w:r>
        <w:rPr>
          <w:rFonts w:hint="eastAsia"/>
          <w:color w:val="auto"/>
          <w:highlight w:val="none"/>
          <w:lang w:val="en-US" w:eastAsia="zh-CN"/>
        </w:rPr>
        <w:t>采购人</w:t>
      </w:r>
      <w:r>
        <w:rPr>
          <w:rFonts w:hint="eastAsia"/>
          <w:color w:val="auto"/>
          <w:highlight w:val="none"/>
        </w:rPr>
        <w:t>提交“供应商须知前附表”规定的磋商保证金，并作为其响应文件的一部分。</w:t>
      </w:r>
    </w:p>
    <w:p w14:paraId="2A16BCD2">
      <w:pPr>
        <w:bidi w:val="0"/>
        <w:rPr>
          <w:color w:val="auto"/>
          <w:highlight w:val="none"/>
        </w:rPr>
      </w:pPr>
      <w:r>
        <w:rPr>
          <w:rFonts w:hint="eastAsia"/>
          <w:color w:val="auto"/>
          <w:highlight w:val="none"/>
          <w:lang w:val="en-US" w:eastAsia="zh-CN"/>
        </w:rPr>
        <w:t>14</w:t>
      </w:r>
      <w:r>
        <w:rPr>
          <w:rFonts w:hint="eastAsia"/>
          <w:color w:val="auto"/>
          <w:highlight w:val="none"/>
        </w:rPr>
        <w:t>.2 任何未按“供应商须知</w:t>
      </w:r>
      <w:r>
        <w:rPr>
          <w:rFonts w:hint="eastAsia"/>
          <w:color w:val="auto"/>
          <w:highlight w:val="none"/>
          <w:lang w:eastAsia="zh-CN"/>
        </w:rPr>
        <w:t>”</w:t>
      </w:r>
      <w:r>
        <w:rPr>
          <w:rFonts w:hint="eastAsia"/>
          <w:color w:val="auto"/>
          <w:highlight w:val="none"/>
        </w:rPr>
        <w:t>第</w:t>
      </w:r>
      <w:r>
        <w:rPr>
          <w:rFonts w:hint="eastAsia"/>
          <w:color w:val="auto"/>
          <w:highlight w:val="none"/>
          <w:lang w:val="en-US" w:eastAsia="zh-CN"/>
        </w:rPr>
        <w:t>14</w:t>
      </w:r>
      <w:r>
        <w:rPr>
          <w:rFonts w:hint="eastAsia"/>
          <w:color w:val="auto"/>
          <w:highlight w:val="none"/>
        </w:rPr>
        <w:t>.1条要求提交磋商保证金的响应文件被视为无效。</w:t>
      </w:r>
    </w:p>
    <w:p w14:paraId="6104B0BB">
      <w:pPr>
        <w:bidi w:val="0"/>
        <w:rPr>
          <w:color w:val="auto"/>
          <w:highlight w:val="none"/>
        </w:rPr>
      </w:pPr>
      <w:r>
        <w:rPr>
          <w:rFonts w:hint="eastAsia"/>
          <w:color w:val="auto"/>
          <w:highlight w:val="none"/>
          <w:lang w:val="en-US" w:eastAsia="zh-CN"/>
        </w:rPr>
        <w:t>14</w:t>
      </w:r>
      <w:r>
        <w:rPr>
          <w:rFonts w:hint="eastAsia"/>
          <w:color w:val="auto"/>
          <w:highlight w:val="none"/>
        </w:rPr>
        <w:t>.3 成交供应商的磋商保证金，</w:t>
      </w:r>
      <w:r>
        <w:rPr>
          <w:rFonts w:hint="eastAsia"/>
          <w:color w:val="auto"/>
          <w:highlight w:val="none"/>
          <w:lang w:val="en-US" w:eastAsia="zh-CN"/>
        </w:rPr>
        <w:t>可转履约保证金。若采用银行保函作为履约保证金，其磋商保证金</w:t>
      </w:r>
      <w:r>
        <w:rPr>
          <w:rFonts w:hint="eastAsia"/>
          <w:color w:val="auto"/>
          <w:highlight w:val="none"/>
        </w:rPr>
        <w:t>在采购合同签订后5个工作日内退还。</w:t>
      </w:r>
    </w:p>
    <w:p w14:paraId="30DC5C7B">
      <w:pPr>
        <w:bidi w:val="0"/>
        <w:rPr>
          <w:color w:val="auto"/>
          <w:highlight w:val="none"/>
        </w:rPr>
      </w:pPr>
      <w:r>
        <w:rPr>
          <w:rFonts w:hint="eastAsia"/>
          <w:color w:val="auto"/>
          <w:highlight w:val="none"/>
          <w:lang w:val="en-US" w:eastAsia="zh-CN"/>
        </w:rPr>
        <w:t>14</w:t>
      </w:r>
      <w:r>
        <w:rPr>
          <w:rFonts w:hint="eastAsia"/>
          <w:color w:val="auto"/>
          <w:highlight w:val="none"/>
        </w:rPr>
        <w:t>.4未成交供应商的磋商保证金，在成交通知书发出后</w:t>
      </w:r>
      <w:r>
        <w:rPr>
          <w:rFonts w:hint="eastAsia"/>
          <w:color w:val="auto"/>
          <w:highlight w:val="none"/>
          <w:u w:val="single"/>
        </w:rPr>
        <w:t>5</w:t>
      </w:r>
      <w:r>
        <w:rPr>
          <w:rFonts w:hint="eastAsia"/>
          <w:color w:val="auto"/>
          <w:highlight w:val="none"/>
        </w:rPr>
        <w:t>个工作日内退还。</w:t>
      </w:r>
    </w:p>
    <w:p w14:paraId="499AF530">
      <w:pPr>
        <w:bidi w:val="0"/>
        <w:rPr>
          <w:b/>
          <w:bCs/>
          <w:color w:val="auto"/>
          <w:highlight w:val="none"/>
        </w:rPr>
      </w:pPr>
      <w:r>
        <w:rPr>
          <w:rFonts w:hint="eastAsia"/>
          <w:b/>
          <w:bCs/>
          <w:color w:val="auto"/>
          <w:highlight w:val="none"/>
          <w:lang w:val="en-US" w:eastAsia="zh-CN"/>
        </w:rPr>
        <w:t>14</w:t>
      </w:r>
      <w:r>
        <w:rPr>
          <w:rFonts w:hint="eastAsia"/>
          <w:b/>
          <w:bCs/>
          <w:color w:val="auto"/>
          <w:highlight w:val="none"/>
        </w:rPr>
        <w:t>.5有下列情形之一的，保证金不予退还：</w:t>
      </w:r>
    </w:p>
    <w:p w14:paraId="711407A5">
      <w:pPr>
        <w:bidi w:val="0"/>
        <w:rPr>
          <w:b/>
          <w:bCs/>
          <w:color w:val="auto"/>
          <w:highlight w:val="none"/>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lang w:eastAsia="zh-CN"/>
        </w:rPr>
        <w:t>）</w:t>
      </w:r>
      <w:r>
        <w:rPr>
          <w:rFonts w:hint="eastAsia"/>
          <w:b/>
          <w:bCs/>
          <w:color w:val="auto"/>
          <w:highlight w:val="none"/>
        </w:rPr>
        <w:t>供应商在提交响应文件截止时间后撤回响应文件的；</w:t>
      </w:r>
    </w:p>
    <w:p w14:paraId="6E6D9B1D">
      <w:pPr>
        <w:bidi w:val="0"/>
        <w:ind w:firstLine="1600"/>
        <w:rPr>
          <w:rFonts w:hint="eastAsia" w:ascii="Times New Roman" w:hAnsi="Times New Roman" w:cs="Times New Roman"/>
          <w:b/>
          <w:bCs/>
          <w:color w:val="auto"/>
          <w:highlight w:val="none"/>
        </w:rPr>
      </w:pPr>
      <w:r>
        <w:rPr>
          <w:rFonts w:hint="eastAsia" w:ascii="Times New Roman" w:hAnsi="Times New Roman" w:cs="Times New Roman"/>
          <w:b/>
          <w:bCs/>
          <w:color w:val="auto"/>
          <w:highlight w:val="none"/>
          <w:lang w:eastAsia="zh-CN"/>
        </w:rPr>
        <w:t>（</w:t>
      </w:r>
      <w:r>
        <w:rPr>
          <w:rFonts w:hint="eastAsia" w:ascii="Times New Roman" w:hAnsi="Times New Roman" w:cs="Times New Roman"/>
          <w:b/>
          <w:bCs/>
          <w:color w:val="auto"/>
          <w:highlight w:val="none"/>
          <w:lang w:val="en-US" w:eastAsia="zh-CN"/>
        </w:rPr>
        <w:t>2</w:t>
      </w:r>
      <w:r>
        <w:rPr>
          <w:rFonts w:hint="eastAsia" w:ascii="Times New Roman" w:hAnsi="Times New Roman" w:cs="Times New Roman"/>
          <w:b/>
          <w:bCs/>
          <w:color w:val="auto"/>
          <w:highlight w:val="none"/>
          <w:lang w:eastAsia="zh-CN"/>
        </w:rPr>
        <w:t>）</w:t>
      </w:r>
      <w:r>
        <w:rPr>
          <w:rFonts w:hint="eastAsia" w:ascii="Times New Roman" w:hAnsi="Times New Roman" w:cs="Times New Roman"/>
          <w:b/>
          <w:bCs/>
          <w:color w:val="auto"/>
          <w:highlight w:val="none"/>
        </w:rPr>
        <w:t>供应商在响应文件中提供虚假材料的；</w:t>
      </w:r>
    </w:p>
    <w:p w14:paraId="50123BA8">
      <w:pPr>
        <w:bidi w:val="0"/>
        <w:ind w:firstLine="1600"/>
        <w:rPr>
          <w:rFonts w:hint="eastAsia" w:ascii="Times New Roman" w:hAnsi="Times New Roman" w:cs="Times New Roman"/>
          <w:b/>
          <w:bCs/>
          <w:color w:val="auto"/>
          <w:highlight w:val="none"/>
        </w:rPr>
      </w:pPr>
      <w:r>
        <w:rPr>
          <w:rFonts w:hint="eastAsia" w:ascii="Times New Roman" w:hAnsi="Times New Roman" w:cs="Times New Roman"/>
          <w:b/>
          <w:bCs/>
          <w:color w:val="auto"/>
          <w:highlight w:val="none"/>
        </w:rPr>
        <w:t>（3）除因不可抗力或磋商文件认可的情形以外，成交供应商不与采购人签订合同的；</w:t>
      </w:r>
    </w:p>
    <w:p w14:paraId="0FBEB99E">
      <w:pPr>
        <w:bidi w:val="0"/>
        <w:ind w:firstLine="1600"/>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（4）成交供应商未能或拒绝按磋商文件的要求提交合同履约保证金或履约保函的；</w:t>
      </w:r>
    </w:p>
    <w:p w14:paraId="55164730">
      <w:pPr>
        <w:bidi w:val="0"/>
        <w:ind w:firstLine="1600"/>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（5）供应商与采购人、其他供应商恶意串通的；</w:t>
      </w:r>
    </w:p>
    <w:p w14:paraId="2519762E">
      <w:pPr>
        <w:bidi w:val="0"/>
        <w:ind w:firstLine="1600"/>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（6）被认定存在法律法规明确载明可不予退还的其他情形。</w:t>
      </w:r>
    </w:p>
    <w:p w14:paraId="109DF7A1">
      <w:pPr>
        <w:bidi w:val="0"/>
        <w:ind w:firstLine="1600"/>
        <w:rPr>
          <w:rFonts w:hint="eastAsia" w:ascii="Times New Roman" w:hAnsi="Times New Roman" w:cs="Times New Roman"/>
          <w:b/>
          <w:bCs/>
          <w:color w:val="auto"/>
          <w:highlight w:val="none"/>
        </w:rPr>
      </w:pPr>
      <w:r>
        <w:rPr>
          <w:rFonts w:hint="eastAsia" w:ascii="Times New Roman" w:hAnsi="Times New Roman" w:cs="Times New Roman"/>
          <w:b/>
          <w:bCs/>
          <w:color w:val="auto"/>
          <w:highlight w:val="none"/>
        </w:rPr>
        <w:t>（</w:t>
      </w:r>
      <w:r>
        <w:rPr>
          <w:rFonts w:hint="eastAsia" w:ascii="Times New Roman" w:hAnsi="Times New Roman" w:cs="Times New Roman"/>
          <w:b/>
          <w:bCs/>
          <w:color w:val="auto"/>
          <w:highlight w:val="none"/>
          <w:lang w:val="en-US" w:eastAsia="zh-CN"/>
        </w:rPr>
        <w:t>7</w:t>
      </w:r>
      <w:r>
        <w:rPr>
          <w:rFonts w:hint="eastAsia" w:ascii="Times New Roman" w:hAnsi="Times New Roman" w:cs="Times New Roman"/>
          <w:b/>
          <w:bCs/>
          <w:color w:val="auto"/>
          <w:highlight w:val="none"/>
        </w:rPr>
        <w:t>）</w:t>
      </w:r>
      <w:r>
        <w:rPr>
          <w:rFonts w:hint="eastAsia" w:ascii="Times New Roman" w:hAnsi="Times New Roman" w:cs="Times New Roman"/>
          <w:b/>
          <w:bCs/>
          <w:color w:val="auto"/>
          <w:highlight w:val="none"/>
          <w:lang w:val="en-US" w:eastAsia="zh-CN"/>
        </w:rPr>
        <w:t>磋商</w:t>
      </w:r>
      <w:r>
        <w:rPr>
          <w:rFonts w:hint="eastAsia" w:ascii="Times New Roman" w:hAnsi="Times New Roman" w:cs="Times New Roman"/>
          <w:b/>
          <w:bCs/>
          <w:color w:val="auto"/>
          <w:highlight w:val="none"/>
        </w:rPr>
        <w:t>文件规定的其他情形。</w:t>
      </w:r>
    </w:p>
    <w:p w14:paraId="0A4C638E">
      <w:pPr>
        <w:bidi w:val="0"/>
        <w:rPr>
          <w:b/>
          <w:bCs/>
          <w:color w:val="auto"/>
          <w:highlight w:val="none"/>
        </w:rPr>
      </w:pPr>
      <w:r>
        <w:rPr>
          <w:rFonts w:hint="eastAsia"/>
          <w:b/>
          <w:bCs/>
          <w:color w:val="auto"/>
          <w:highlight w:val="none"/>
          <w:lang w:val="en-US" w:eastAsia="zh-CN"/>
        </w:rPr>
        <w:t>15</w:t>
      </w:r>
      <w:r>
        <w:rPr>
          <w:rFonts w:hint="eastAsia"/>
          <w:b/>
          <w:bCs/>
          <w:color w:val="auto"/>
          <w:highlight w:val="none"/>
        </w:rPr>
        <w:t>. 磋商有效期</w:t>
      </w:r>
    </w:p>
    <w:p w14:paraId="291E196F">
      <w:pPr>
        <w:bidi w:val="0"/>
        <w:rPr>
          <w:color w:val="auto"/>
          <w:highlight w:val="none"/>
        </w:rPr>
      </w:pPr>
      <w:r>
        <w:rPr>
          <w:rFonts w:hint="eastAsia"/>
          <w:color w:val="auto"/>
          <w:highlight w:val="none"/>
        </w:rPr>
        <w:t>磋商有效期为自磋商之日起不少于“供应商须知前附表”规定的时间保持有效。</w:t>
      </w:r>
      <w:r>
        <w:rPr>
          <w:rFonts w:hint="eastAsia"/>
          <w:b/>
          <w:bCs/>
          <w:color w:val="auto"/>
          <w:highlight w:val="none"/>
        </w:rPr>
        <w:t>磋商有效期不足的响应文件被视为无效。</w:t>
      </w:r>
    </w:p>
    <w:p w14:paraId="332B6167">
      <w:pPr>
        <w:bidi w:val="0"/>
        <w:rPr>
          <w:b/>
          <w:bCs/>
          <w:color w:val="auto"/>
          <w:highlight w:val="none"/>
        </w:rPr>
      </w:pPr>
      <w:r>
        <w:rPr>
          <w:rFonts w:hint="eastAsia"/>
          <w:b/>
          <w:bCs/>
          <w:color w:val="auto"/>
          <w:highlight w:val="none"/>
          <w:lang w:val="en-US" w:eastAsia="zh-CN"/>
        </w:rPr>
        <w:t>16</w:t>
      </w:r>
      <w:r>
        <w:rPr>
          <w:rFonts w:hint="eastAsia"/>
          <w:b/>
          <w:bCs/>
          <w:color w:val="auto"/>
          <w:highlight w:val="none"/>
        </w:rPr>
        <w:t>. 响应文件的签署及规定</w:t>
      </w:r>
    </w:p>
    <w:p w14:paraId="3EA51B72">
      <w:pPr>
        <w:bidi w:val="0"/>
        <w:rPr>
          <w:color w:val="auto"/>
          <w:highlight w:val="none"/>
        </w:rPr>
      </w:pPr>
      <w:r>
        <w:rPr>
          <w:rFonts w:hint="eastAsia"/>
          <w:highlight w:val="none"/>
        </w:rPr>
        <w:t>详见“供应商须知前附表”</w:t>
      </w:r>
    </w:p>
    <w:p w14:paraId="49FF9B84">
      <w:pPr>
        <w:pStyle w:val="3"/>
        <w:numPr>
          <w:ilvl w:val="0"/>
          <w:numId w:val="0"/>
        </w:numPr>
        <w:bidi w:val="0"/>
        <w:ind w:left="0" w:leftChars="0" w:firstLine="480" w:firstLineChars="200"/>
        <w:rPr>
          <w:highlight w:val="none"/>
        </w:rPr>
      </w:pPr>
      <w:bookmarkStart w:id="175" w:name="_Toc19724"/>
      <w:bookmarkStart w:id="176" w:name="_Toc17311"/>
      <w:bookmarkStart w:id="177" w:name="_Toc20773"/>
      <w:bookmarkStart w:id="178" w:name="_Toc19622"/>
      <w:bookmarkStart w:id="179" w:name="_Toc18705"/>
      <w:bookmarkStart w:id="180" w:name="_Toc505020157"/>
      <w:bookmarkStart w:id="181" w:name="_Toc13932"/>
      <w:bookmarkStart w:id="182" w:name="_Toc31564"/>
      <w:bookmarkStart w:id="183" w:name="_Toc28822"/>
      <w:bookmarkStart w:id="184" w:name="_Toc30951"/>
      <w:r>
        <w:rPr>
          <w:rFonts w:hint="eastAsia" w:ascii="仿宋_GB2312" w:hAnsi="仿宋_GB2312" w:eastAsia="仿宋_GB2312" w:cs="Times New Roman"/>
          <w:b/>
          <w:bCs/>
          <w:kern w:val="2"/>
          <w:sz w:val="24"/>
          <w:szCs w:val="32"/>
          <w:lang w:val="en-US" w:eastAsia="zh-CN" w:bidi="ar-SA"/>
        </w:rPr>
        <w:t>五、</w:t>
      </w:r>
      <w:r>
        <w:rPr>
          <w:rFonts w:hint="eastAsia"/>
          <w:highlight w:val="none"/>
        </w:rPr>
        <w:t>响应文件的递交</w:t>
      </w:r>
      <w:bookmarkEnd w:id="175"/>
      <w:bookmarkEnd w:id="176"/>
      <w:bookmarkEnd w:id="177"/>
      <w:bookmarkEnd w:id="178"/>
      <w:bookmarkEnd w:id="179"/>
      <w:bookmarkEnd w:id="180"/>
      <w:bookmarkEnd w:id="181"/>
      <w:bookmarkEnd w:id="182"/>
      <w:bookmarkEnd w:id="183"/>
      <w:bookmarkEnd w:id="184"/>
    </w:p>
    <w:p w14:paraId="1BF59F53">
      <w:pPr>
        <w:pStyle w:val="3"/>
        <w:numPr>
          <w:ilvl w:val="0"/>
          <w:numId w:val="0"/>
        </w:numPr>
        <w:ind w:firstLine="480" w:firstLineChars="200"/>
        <w:rPr>
          <w:rFonts w:hint="eastAsia"/>
          <w:highlight w:val="none"/>
        </w:rPr>
      </w:pPr>
      <w:bookmarkStart w:id="185" w:name="_Toc10516"/>
      <w:bookmarkStart w:id="186" w:name="_Toc27479"/>
      <w:bookmarkStart w:id="187" w:name="_Toc17982"/>
      <w:bookmarkStart w:id="188" w:name="_Toc7003"/>
      <w:bookmarkStart w:id="189" w:name="_Toc12803"/>
      <w:bookmarkStart w:id="190" w:name="_Toc13872"/>
      <w:bookmarkStart w:id="191" w:name="_Toc11305"/>
      <w:bookmarkStart w:id="192" w:name="_Toc15187"/>
      <w:r>
        <w:rPr>
          <w:rFonts w:hint="eastAsia"/>
          <w:b/>
          <w:bCs/>
          <w:color w:val="auto"/>
          <w:highlight w:val="none"/>
          <w:lang w:val="en-US" w:eastAsia="zh-CN"/>
        </w:rPr>
        <w:t>17</w:t>
      </w:r>
      <w:r>
        <w:rPr>
          <w:rFonts w:hint="eastAsia"/>
          <w:b/>
          <w:bCs/>
          <w:color w:val="auto"/>
          <w:highlight w:val="none"/>
        </w:rPr>
        <w:t xml:space="preserve">. </w:t>
      </w:r>
      <w:r>
        <w:rPr>
          <w:rFonts w:hint="eastAsia"/>
          <w:highlight w:val="none"/>
        </w:rPr>
        <w:t>响应文件的递交</w:t>
      </w:r>
      <w:bookmarkEnd w:id="185"/>
      <w:bookmarkEnd w:id="186"/>
      <w:bookmarkEnd w:id="187"/>
      <w:bookmarkEnd w:id="188"/>
      <w:bookmarkEnd w:id="189"/>
      <w:bookmarkEnd w:id="190"/>
      <w:bookmarkEnd w:id="191"/>
      <w:bookmarkEnd w:id="192"/>
    </w:p>
    <w:p w14:paraId="3C05FF0D">
      <w:pPr>
        <w:bidi w:val="0"/>
        <w:rPr>
          <w:color w:val="auto"/>
          <w:highlight w:val="none"/>
        </w:rPr>
      </w:pPr>
      <w:r>
        <w:rPr>
          <w:rFonts w:hint="eastAsia"/>
          <w:highlight w:val="none"/>
        </w:rPr>
        <w:t>详见“供应商须知前附表”。</w:t>
      </w:r>
    </w:p>
    <w:p w14:paraId="3A18717F">
      <w:pPr>
        <w:bidi w:val="0"/>
        <w:rPr>
          <w:b/>
          <w:bCs/>
          <w:color w:val="auto"/>
          <w:highlight w:val="none"/>
        </w:rPr>
      </w:pPr>
      <w:r>
        <w:rPr>
          <w:rFonts w:hint="eastAsia"/>
          <w:b/>
          <w:bCs/>
          <w:color w:val="auto"/>
          <w:highlight w:val="none"/>
          <w:lang w:val="en-US" w:eastAsia="zh-CN"/>
        </w:rPr>
        <w:t>18</w:t>
      </w:r>
      <w:r>
        <w:rPr>
          <w:rFonts w:hint="eastAsia"/>
          <w:b/>
          <w:bCs/>
          <w:color w:val="auto"/>
          <w:highlight w:val="none"/>
        </w:rPr>
        <w:t>. 磋商截止时间</w:t>
      </w:r>
    </w:p>
    <w:p w14:paraId="33DEA8B9">
      <w:pPr>
        <w:bidi w:val="0"/>
        <w:rPr>
          <w:color w:val="auto"/>
          <w:highlight w:val="none"/>
        </w:rPr>
      </w:pPr>
      <w:r>
        <w:rPr>
          <w:rFonts w:hint="eastAsia"/>
          <w:highlight w:val="none"/>
        </w:rPr>
        <w:t>供应商必须在</w:t>
      </w:r>
      <w:r>
        <w:rPr>
          <w:rFonts w:hint="eastAsia"/>
          <w:highlight w:val="none"/>
          <w:lang w:val="en-US" w:eastAsia="zh-CN"/>
        </w:rPr>
        <w:t>磋商文件</w:t>
      </w:r>
      <w:r>
        <w:rPr>
          <w:rFonts w:hint="eastAsia"/>
          <w:highlight w:val="none"/>
        </w:rPr>
        <w:t>规定的截止时间前，将响应文件</w:t>
      </w:r>
      <w:r>
        <w:rPr>
          <w:rFonts w:hint="eastAsia"/>
          <w:highlight w:val="none"/>
          <w:lang w:val="en-US" w:eastAsia="zh-CN"/>
        </w:rPr>
        <w:t>递交</w:t>
      </w:r>
      <w:r>
        <w:rPr>
          <w:rFonts w:hint="eastAsia"/>
          <w:highlight w:val="none"/>
        </w:rPr>
        <w:t>至本项目响应文件递交地点（开标地点）。</w:t>
      </w:r>
    </w:p>
    <w:p w14:paraId="1A1B3781">
      <w:pPr>
        <w:bidi w:val="0"/>
        <w:rPr>
          <w:b/>
          <w:bCs/>
          <w:color w:val="auto"/>
          <w:highlight w:val="none"/>
        </w:rPr>
      </w:pPr>
      <w:r>
        <w:rPr>
          <w:rFonts w:hint="eastAsia"/>
          <w:b/>
          <w:bCs/>
          <w:color w:val="auto"/>
          <w:highlight w:val="none"/>
          <w:lang w:val="en-US" w:eastAsia="zh-CN"/>
        </w:rPr>
        <w:t>19</w:t>
      </w:r>
      <w:r>
        <w:rPr>
          <w:rFonts w:hint="eastAsia"/>
          <w:b/>
          <w:bCs/>
          <w:color w:val="auto"/>
          <w:highlight w:val="none"/>
        </w:rPr>
        <w:t>. 迟交的响应文件</w:t>
      </w:r>
    </w:p>
    <w:p w14:paraId="10E45594">
      <w:pPr>
        <w:bidi w:val="0"/>
        <w:rPr>
          <w:color w:val="auto"/>
          <w:highlight w:val="none"/>
        </w:rPr>
      </w:pPr>
      <w:r>
        <w:rPr>
          <w:rFonts w:hint="eastAsia"/>
          <w:highlight w:val="none"/>
        </w:rPr>
        <w:t>在响应文件递交截止时间以后</w:t>
      </w:r>
      <w:r>
        <w:rPr>
          <w:rFonts w:hint="eastAsia"/>
          <w:highlight w:val="none"/>
          <w:lang w:val="en-US" w:eastAsia="zh-CN"/>
        </w:rPr>
        <w:t>递交</w:t>
      </w:r>
      <w:r>
        <w:rPr>
          <w:rFonts w:hint="eastAsia"/>
          <w:highlight w:val="none"/>
        </w:rPr>
        <w:t>的响应文件为无效响应文件。</w:t>
      </w:r>
      <w:r>
        <w:rPr>
          <w:rFonts w:hint="eastAsia"/>
          <w:color w:val="auto"/>
          <w:highlight w:val="none"/>
        </w:rPr>
        <w:t xml:space="preserve"> </w:t>
      </w:r>
    </w:p>
    <w:p w14:paraId="5467894D">
      <w:pPr>
        <w:bidi w:val="0"/>
        <w:rPr>
          <w:b/>
          <w:bCs/>
          <w:color w:val="auto"/>
          <w:highlight w:val="none"/>
        </w:rPr>
      </w:pPr>
      <w:r>
        <w:rPr>
          <w:rFonts w:hint="eastAsia"/>
          <w:b/>
          <w:bCs/>
          <w:color w:val="auto"/>
          <w:highlight w:val="none"/>
          <w:lang w:val="en-US" w:eastAsia="zh-CN"/>
        </w:rPr>
        <w:t>20</w:t>
      </w:r>
      <w:r>
        <w:rPr>
          <w:rFonts w:hint="eastAsia"/>
          <w:b/>
          <w:bCs/>
          <w:color w:val="auto"/>
          <w:highlight w:val="none"/>
        </w:rPr>
        <w:t>. 响应文件的补充、修改或撤回</w:t>
      </w:r>
    </w:p>
    <w:p w14:paraId="4D88E4DE">
      <w:pPr>
        <w:ind w:firstLine="480"/>
        <w:rPr>
          <w:rFonts w:hint="eastAsia"/>
          <w:highlight w:val="none"/>
        </w:rPr>
      </w:pPr>
      <w:r>
        <w:rPr>
          <w:rFonts w:hint="eastAsia"/>
          <w:highlight w:val="none"/>
        </w:rPr>
        <w:t>20.1供应商在提交响应文件截止时间前，可以对所提交的响应文件进行补充、修改或者撤回，并书面通知采购人。补充、修改的内容作为响应文件的组成部分。补充、修改的内容与响应文件不一致的，以补充、修改的内容为准。</w:t>
      </w:r>
    </w:p>
    <w:p w14:paraId="69904A23">
      <w:pPr>
        <w:bidi w:val="0"/>
        <w:rPr>
          <w:rFonts w:ascii="仿宋" w:hAnsi="仿宋" w:eastAsia="仿宋" w:cs="仿宋"/>
          <w:color w:val="auto"/>
          <w:sz w:val="28"/>
          <w:szCs w:val="28"/>
          <w:highlight w:val="none"/>
        </w:rPr>
      </w:pPr>
      <w:r>
        <w:rPr>
          <w:rFonts w:hint="eastAsia"/>
          <w:highlight w:val="none"/>
        </w:rPr>
        <w:t>20.2从响应文件递交截止期至</w:t>
      </w:r>
      <w:r>
        <w:rPr>
          <w:rFonts w:hint="eastAsia"/>
          <w:highlight w:val="none"/>
          <w:lang w:val="en-US" w:eastAsia="zh-CN"/>
        </w:rPr>
        <w:t>磋商</w:t>
      </w:r>
      <w:r>
        <w:rPr>
          <w:rFonts w:hint="eastAsia"/>
          <w:highlight w:val="none"/>
        </w:rPr>
        <w:t>有效期期满这段时间内，供应商不得撤回其响应文件，否则不予退还其缴纳的</w:t>
      </w:r>
      <w:r>
        <w:rPr>
          <w:rFonts w:hint="eastAsia"/>
          <w:highlight w:val="none"/>
          <w:lang w:eastAsia="zh-CN"/>
        </w:rPr>
        <w:t>磋商</w:t>
      </w:r>
      <w:r>
        <w:rPr>
          <w:rFonts w:hint="eastAsia"/>
          <w:highlight w:val="none"/>
        </w:rPr>
        <w:t>保证金。</w:t>
      </w:r>
    </w:p>
    <w:p w14:paraId="4037F52A">
      <w:pPr>
        <w:pStyle w:val="3"/>
        <w:numPr>
          <w:ilvl w:val="0"/>
          <w:numId w:val="0"/>
        </w:numPr>
        <w:bidi w:val="0"/>
        <w:ind w:left="0" w:leftChars="0" w:firstLine="480" w:firstLineChars="200"/>
        <w:rPr>
          <w:highlight w:val="none"/>
        </w:rPr>
      </w:pPr>
      <w:bookmarkStart w:id="193" w:name="_Toc849"/>
      <w:bookmarkStart w:id="194" w:name="_Toc13002"/>
      <w:bookmarkStart w:id="195" w:name="_Toc23353"/>
      <w:bookmarkStart w:id="196" w:name="_Toc505020158"/>
      <w:bookmarkStart w:id="197" w:name="_Toc14694"/>
      <w:bookmarkStart w:id="198" w:name="_Toc27583"/>
      <w:bookmarkStart w:id="199" w:name="_Toc17456"/>
      <w:bookmarkStart w:id="200" w:name="_Toc4442"/>
      <w:bookmarkStart w:id="201" w:name="_Toc1044"/>
      <w:bookmarkStart w:id="202" w:name="_Toc20632"/>
      <w:r>
        <w:rPr>
          <w:rFonts w:hint="eastAsia" w:ascii="仿宋_GB2312" w:hAnsi="仿宋_GB2312" w:eastAsia="仿宋_GB2312" w:cs="Times New Roman"/>
          <w:b/>
          <w:bCs/>
          <w:kern w:val="2"/>
          <w:sz w:val="24"/>
          <w:szCs w:val="32"/>
          <w:lang w:val="en-US" w:eastAsia="zh-CN" w:bidi="ar-SA"/>
        </w:rPr>
        <w:t>六、</w:t>
      </w:r>
      <w:r>
        <w:rPr>
          <w:rFonts w:hint="eastAsia"/>
          <w:highlight w:val="none"/>
        </w:rPr>
        <w:t>磋商</w:t>
      </w:r>
      <w:bookmarkEnd w:id="193"/>
      <w:bookmarkEnd w:id="194"/>
      <w:bookmarkEnd w:id="195"/>
      <w:bookmarkEnd w:id="196"/>
      <w:bookmarkEnd w:id="197"/>
      <w:bookmarkEnd w:id="198"/>
      <w:bookmarkEnd w:id="199"/>
      <w:bookmarkEnd w:id="200"/>
      <w:bookmarkEnd w:id="201"/>
      <w:bookmarkEnd w:id="202"/>
    </w:p>
    <w:p w14:paraId="4DE40AF1">
      <w:pPr>
        <w:bidi w:val="0"/>
        <w:rPr>
          <w:b/>
          <w:bCs/>
          <w:color w:val="auto"/>
          <w:highlight w:val="none"/>
        </w:rPr>
      </w:pPr>
      <w:r>
        <w:rPr>
          <w:rFonts w:hint="eastAsia"/>
          <w:b/>
          <w:bCs/>
          <w:color w:val="auto"/>
          <w:highlight w:val="none"/>
        </w:rPr>
        <w:t>2</w:t>
      </w:r>
      <w:r>
        <w:rPr>
          <w:rFonts w:hint="eastAsia"/>
          <w:b/>
          <w:bCs/>
          <w:color w:val="auto"/>
          <w:highlight w:val="none"/>
          <w:lang w:val="en-US" w:eastAsia="zh-CN"/>
        </w:rPr>
        <w:t>1</w:t>
      </w:r>
      <w:r>
        <w:rPr>
          <w:rFonts w:hint="eastAsia"/>
          <w:b/>
          <w:bCs/>
          <w:color w:val="auto"/>
          <w:highlight w:val="none"/>
        </w:rPr>
        <w:t>. 磋商组织</w:t>
      </w:r>
    </w:p>
    <w:p w14:paraId="604EDC64">
      <w:pPr>
        <w:bidi w:val="0"/>
        <w:rPr>
          <w:rFonts w:hint="eastAsia"/>
          <w:color w:val="auto"/>
          <w:highlight w:val="none"/>
        </w:rPr>
      </w:pPr>
      <w:r>
        <w:rPr>
          <w:rFonts w:hint="eastAsia"/>
          <w:color w:val="auto"/>
          <w:highlight w:val="none"/>
          <w:lang w:val="en-US" w:eastAsia="zh-CN"/>
        </w:rPr>
        <w:t>采购人</w:t>
      </w:r>
      <w:r>
        <w:rPr>
          <w:rFonts w:hint="eastAsia"/>
          <w:color w:val="auto"/>
          <w:highlight w:val="none"/>
        </w:rPr>
        <w:t>在“</w:t>
      </w:r>
      <w:r>
        <w:rPr>
          <w:rFonts w:hint="eastAsia"/>
          <w:color w:val="auto"/>
          <w:highlight w:val="none"/>
          <w:lang w:eastAsia="zh-CN"/>
        </w:rPr>
        <w:t>磋商公告</w:t>
      </w:r>
      <w:r>
        <w:rPr>
          <w:rFonts w:hint="eastAsia"/>
          <w:color w:val="auto"/>
          <w:highlight w:val="none"/>
        </w:rPr>
        <w:t>”中规定的时间、地点组织磋商活动。</w:t>
      </w:r>
    </w:p>
    <w:p w14:paraId="480ED8C9">
      <w:pPr>
        <w:bidi w:val="0"/>
        <w:rPr>
          <w:b/>
          <w:bCs/>
          <w:color w:val="auto"/>
          <w:highlight w:val="none"/>
        </w:rPr>
      </w:pPr>
      <w:r>
        <w:rPr>
          <w:rFonts w:hint="eastAsia"/>
          <w:b/>
          <w:bCs/>
          <w:color w:val="auto"/>
          <w:highlight w:val="none"/>
        </w:rPr>
        <w:t>2</w:t>
      </w:r>
      <w:r>
        <w:rPr>
          <w:rFonts w:hint="eastAsia"/>
          <w:b/>
          <w:bCs/>
          <w:color w:val="auto"/>
          <w:highlight w:val="none"/>
          <w:lang w:val="en-US" w:eastAsia="zh-CN"/>
        </w:rPr>
        <w:t>2</w:t>
      </w:r>
      <w:r>
        <w:rPr>
          <w:rFonts w:hint="eastAsia"/>
          <w:b/>
          <w:bCs/>
          <w:color w:val="auto"/>
          <w:highlight w:val="none"/>
        </w:rPr>
        <w:t>.磋商小组</w:t>
      </w:r>
    </w:p>
    <w:p w14:paraId="56248484">
      <w:pPr>
        <w:ind w:firstLine="480"/>
        <w:rPr>
          <w:rFonts w:hint="eastAsia"/>
          <w:highlight w:val="none"/>
          <w:lang w:val="en-GB"/>
        </w:rPr>
      </w:pPr>
      <w:r>
        <w:rPr>
          <w:rFonts w:hint="eastAsia"/>
          <w:highlight w:val="none"/>
          <w:lang w:val="en-GB"/>
        </w:rPr>
        <w:t>评审工作由磋商小组负责，总数 5 人，其中</w:t>
      </w:r>
      <w:r>
        <w:rPr>
          <w:rFonts w:hint="eastAsia"/>
          <w:color w:val="auto"/>
          <w:highlight w:val="none"/>
          <w:lang w:eastAsia="zh-CN"/>
        </w:rPr>
        <w:t>业主代表</w:t>
      </w:r>
      <w:r>
        <w:rPr>
          <w:rFonts w:hint="eastAsia"/>
          <w:color w:val="auto"/>
          <w:highlight w:val="none"/>
          <w:lang w:val="en-US" w:eastAsia="zh-CN"/>
        </w:rPr>
        <w:t>1人，江西萍乡建工集团</w:t>
      </w:r>
      <w:r>
        <w:rPr>
          <w:rFonts w:hint="eastAsia"/>
          <w:color w:val="auto"/>
          <w:highlight w:val="none"/>
          <w:lang w:val="en-GB"/>
        </w:rPr>
        <w:t>专家</w:t>
      </w:r>
      <w:r>
        <w:rPr>
          <w:rFonts w:hint="eastAsia"/>
          <w:color w:val="auto"/>
          <w:highlight w:val="none"/>
          <w:lang w:val="en-US" w:eastAsia="zh-CN"/>
        </w:rPr>
        <w:t>库抽取</w:t>
      </w:r>
      <w:r>
        <w:rPr>
          <w:rFonts w:hint="eastAsia"/>
          <w:color w:val="auto"/>
          <w:highlight w:val="none"/>
          <w:u w:val="single"/>
          <w:lang w:val="en-US" w:eastAsia="zh-CN"/>
        </w:rPr>
        <w:t xml:space="preserve"> 4</w:t>
      </w:r>
      <w:r>
        <w:rPr>
          <w:rFonts w:hint="eastAsia"/>
          <w:color w:val="auto"/>
          <w:highlight w:val="none"/>
          <w:lang w:val="en-GB"/>
        </w:rPr>
        <w:t>人，集团纪检监察室参与监督。</w:t>
      </w:r>
    </w:p>
    <w:p w14:paraId="30ECEF84">
      <w:pPr>
        <w:bidi w:val="0"/>
        <w:rPr>
          <w:b/>
          <w:bCs/>
          <w:color w:val="auto"/>
          <w:highlight w:val="none"/>
        </w:rPr>
      </w:pPr>
      <w:r>
        <w:rPr>
          <w:rFonts w:hint="eastAsia"/>
          <w:b/>
          <w:bCs/>
          <w:color w:val="auto"/>
          <w:highlight w:val="none"/>
          <w:lang w:val="en-US" w:eastAsia="zh-CN"/>
        </w:rPr>
        <w:t>23</w:t>
      </w:r>
      <w:r>
        <w:rPr>
          <w:rFonts w:hint="eastAsia"/>
          <w:b/>
          <w:bCs/>
          <w:color w:val="auto"/>
          <w:highlight w:val="none"/>
        </w:rPr>
        <w:t>. 磋商程序</w:t>
      </w:r>
    </w:p>
    <w:p w14:paraId="79968950">
      <w:pPr>
        <w:ind w:firstLine="480"/>
        <w:rPr>
          <w:rFonts w:hint="eastAsia"/>
          <w:color w:val="auto"/>
          <w:highlight w:val="none"/>
        </w:rPr>
      </w:pPr>
      <w:r>
        <w:rPr>
          <w:rFonts w:hint="eastAsia"/>
          <w:color w:val="auto"/>
          <w:highlight w:val="none"/>
        </w:rPr>
        <w:t>2</w:t>
      </w:r>
      <w:r>
        <w:rPr>
          <w:rFonts w:hint="eastAsia"/>
          <w:color w:val="auto"/>
          <w:highlight w:val="none"/>
          <w:lang w:val="en-US" w:eastAsia="zh-CN"/>
        </w:rPr>
        <w:t>3</w:t>
      </w:r>
      <w:r>
        <w:rPr>
          <w:rFonts w:hint="eastAsia"/>
          <w:color w:val="auto"/>
          <w:highlight w:val="none"/>
        </w:rPr>
        <w:t xml:space="preserve">.1 </w:t>
      </w:r>
      <w:r>
        <w:rPr>
          <w:rFonts w:hint="eastAsia"/>
          <w:b/>
          <w:bCs/>
          <w:color w:val="auto"/>
          <w:highlight w:val="none"/>
        </w:rPr>
        <w:t>本项目</w:t>
      </w:r>
      <w:r>
        <w:rPr>
          <w:rFonts w:hint="eastAsia"/>
          <w:b/>
          <w:bCs/>
          <w:color w:val="auto"/>
          <w:highlight w:val="none"/>
          <w:lang w:val="en-US" w:eastAsia="zh-CN"/>
        </w:rPr>
        <w:t>采用竞争性磋商采购方式，递交文件家数应不少于2家。</w:t>
      </w:r>
      <w:r>
        <w:rPr>
          <w:rFonts w:hint="eastAsia"/>
          <w:color w:val="auto"/>
          <w:highlight w:val="none"/>
        </w:rPr>
        <w:t>响应供应商在磋商现场检查响应文件的密封情况并签字确认。代理机构拆封响应文件，开始评审后供应商离开磋商地点。</w:t>
      </w:r>
    </w:p>
    <w:p w14:paraId="7C43EC8D">
      <w:pPr>
        <w:ind w:firstLine="480"/>
        <w:rPr>
          <w:rFonts w:hint="eastAsia"/>
          <w:highlight w:val="none"/>
        </w:rPr>
      </w:pPr>
      <w:r>
        <w:rPr>
          <w:rFonts w:hint="eastAsia"/>
          <w:color w:val="auto"/>
          <w:highlight w:val="none"/>
          <w:lang w:val="en-US" w:eastAsia="zh-CN"/>
        </w:rPr>
        <w:t>磋商小组</w:t>
      </w:r>
      <w:r>
        <w:rPr>
          <w:rFonts w:hint="eastAsia"/>
          <w:highlight w:val="none"/>
          <w:lang w:val="en-GB"/>
        </w:rPr>
        <w:t>对各供应商的响应文件进行初审，并确定</w:t>
      </w:r>
      <w:r>
        <w:rPr>
          <w:rFonts w:hint="eastAsia"/>
          <w:highlight w:val="none"/>
          <w:lang w:val="en-US" w:eastAsia="zh-CN"/>
        </w:rPr>
        <w:t>磋商</w:t>
      </w:r>
      <w:r>
        <w:rPr>
          <w:rFonts w:hint="eastAsia"/>
          <w:highlight w:val="none"/>
          <w:lang w:val="en-GB"/>
        </w:rPr>
        <w:t>内容。</w:t>
      </w:r>
      <w:r>
        <w:rPr>
          <w:rFonts w:hint="eastAsia"/>
          <w:highlight w:val="none"/>
        </w:rPr>
        <w:t>响应文件的初审分为：</w:t>
      </w:r>
    </w:p>
    <w:p w14:paraId="10474CA3">
      <w:pPr>
        <w:ind w:firstLine="480"/>
        <w:rPr>
          <w:rFonts w:hint="eastAsia"/>
          <w:highlight w:val="none"/>
          <w:lang w:val="en-GB"/>
        </w:rPr>
      </w:pPr>
      <w:r>
        <w:rPr>
          <w:rFonts w:hint="eastAsia"/>
          <w:highlight w:val="none"/>
          <w:lang w:val="en-GB"/>
        </w:rPr>
        <w:t>（1）</w:t>
      </w:r>
      <w:r>
        <w:rPr>
          <w:rFonts w:hint="eastAsia"/>
          <w:b/>
          <w:bCs/>
          <w:highlight w:val="none"/>
          <w:lang w:val="en-GB"/>
        </w:rPr>
        <w:t>资格性检查。</w:t>
      </w:r>
      <w:r>
        <w:rPr>
          <w:rFonts w:hint="eastAsia"/>
          <w:highlight w:val="none"/>
          <w:lang w:val="en-GB"/>
        </w:rPr>
        <w:t>依据法律法规和竞争性</w:t>
      </w:r>
      <w:r>
        <w:rPr>
          <w:rFonts w:hint="eastAsia"/>
          <w:highlight w:val="none"/>
          <w:lang w:val="en-US" w:eastAsia="zh-CN"/>
        </w:rPr>
        <w:t>磋商</w:t>
      </w:r>
      <w:r>
        <w:rPr>
          <w:rFonts w:hint="eastAsia"/>
          <w:highlight w:val="none"/>
        </w:rPr>
        <w:t>文件“第四章 响应文件格式”的规定，对响应文件中的资格证明文件进行审查，以确定供应商是否具备参加</w:t>
      </w:r>
      <w:r>
        <w:rPr>
          <w:rFonts w:hint="eastAsia"/>
          <w:highlight w:val="none"/>
          <w:lang w:val="en-US" w:eastAsia="zh-CN"/>
        </w:rPr>
        <w:t>磋商</w:t>
      </w:r>
      <w:r>
        <w:rPr>
          <w:rFonts w:hint="eastAsia"/>
          <w:highlight w:val="none"/>
        </w:rPr>
        <w:t>资格。</w:t>
      </w:r>
    </w:p>
    <w:p w14:paraId="226A88BD">
      <w:pPr>
        <w:ind w:firstLine="480"/>
        <w:rPr>
          <w:rFonts w:hint="eastAsia"/>
          <w:highlight w:val="none"/>
          <w:lang w:val="en-GB"/>
        </w:rPr>
      </w:pPr>
      <w:r>
        <w:rPr>
          <w:rFonts w:hint="eastAsia"/>
          <w:highlight w:val="none"/>
          <w:lang w:val="en-GB"/>
        </w:rPr>
        <w:t>（2）</w:t>
      </w:r>
      <w:r>
        <w:rPr>
          <w:rFonts w:hint="eastAsia"/>
          <w:b/>
          <w:bCs/>
          <w:highlight w:val="none"/>
          <w:lang w:val="en-GB"/>
        </w:rPr>
        <w:t>符合性检查。</w:t>
      </w:r>
      <w:r>
        <w:rPr>
          <w:rFonts w:hint="eastAsia"/>
          <w:highlight w:val="none"/>
          <w:lang w:val="en-GB"/>
        </w:rPr>
        <w:t>依据</w:t>
      </w:r>
      <w:r>
        <w:rPr>
          <w:rFonts w:hint="eastAsia"/>
          <w:highlight w:val="none"/>
          <w:lang w:val="en-US" w:eastAsia="zh-CN"/>
        </w:rPr>
        <w:t>磋商</w:t>
      </w:r>
      <w:r>
        <w:rPr>
          <w:rFonts w:hint="eastAsia"/>
          <w:highlight w:val="none"/>
          <w:lang w:val="en-GB"/>
        </w:rPr>
        <w:t>文件的规定，从响应文件的有效性、完整性和对</w:t>
      </w:r>
      <w:r>
        <w:rPr>
          <w:rFonts w:hint="eastAsia"/>
          <w:highlight w:val="none"/>
          <w:lang w:val="en-US" w:eastAsia="zh-CN"/>
        </w:rPr>
        <w:t>磋商</w:t>
      </w:r>
      <w:r>
        <w:rPr>
          <w:rFonts w:hint="eastAsia"/>
          <w:highlight w:val="none"/>
          <w:lang w:val="en-GB"/>
        </w:rPr>
        <w:t>文件的响应程度进行审查，以确定是否对</w:t>
      </w:r>
      <w:r>
        <w:rPr>
          <w:rFonts w:hint="eastAsia"/>
          <w:highlight w:val="none"/>
          <w:lang w:val="en-US" w:eastAsia="zh-CN"/>
        </w:rPr>
        <w:t>磋商</w:t>
      </w:r>
      <w:r>
        <w:rPr>
          <w:rFonts w:hint="eastAsia"/>
          <w:highlight w:val="none"/>
          <w:lang w:val="en-GB"/>
        </w:rPr>
        <w:t>文件的实质性要求做出响应。</w:t>
      </w:r>
    </w:p>
    <w:p w14:paraId="48DA6455">
      <w:pPr>
        <w:ind w:firstLine="480"/>
        <w:rPr>
          <w:rFonts w:hint="eastAsia"/>
          <w:highlight w:val="none"/>
          <w:lang w:val="en-GB"/>
        </w:rPr>
      </w:pPr>
      <w:r>
        <w:rPr>
          <w:rFonts w:hint="eastAsia"/>
          <w:highlight w:val="none"/>
          <w:lang w:val="en-GB"/>
        </w:rPr>
        <w:t>2</w:t>
      </w:r>
      <w:r>
        <w:rPr>
          <w:rFonts w:hint="eastAsia"/>
          <w:highlight w:val="none"/>
          <w:lang w:val="en-US" w:eastAsia="zh-CN"/>
        </w:rPr>
        <w:t>3</w:t>
      </w:r>
      <w:r>
        <w:rPr>
          <w:rFonts w:hint="eastAsia"/>
          <w:highlight w:val="none"/>
          <w:lang w:val="en-GB"/>
        </w:rPr>
        <w:t>.</w:t>
      </w:r>
      <w:r>
        <w:rPr>
          <w:rFonts w:hint="eastAsia"/>
          <w:highlight w:val="none"/>
        </w:rPr>
        <w:t>2</w:t>
      </w:r>
      <w:r>
        <w:rPr>
          <w:rFonts w:hint="eastAsia"/>
          <w:highlight w:val="none"/>
          <w:lang w:val="en-GB"/>
        </w:rPr>
        <w:t>初审出现下列情况者，响应文件被视为无效：</w:t>
      </w:r>
    </w:p>
    <w:p w14:paraId="3095AC35">
      <w:pPr>
        <w:ind w:firstLine="482"/>
        <w:rPr>
          <w:rFonts w:hint="eastAsia"/>
          <w:b/>
          <w:bCs/>
          <w:highlight w:val="none"/>
          <w:lang w:val="en-GB"/>
        </w:rPr>
      </w:pPr>
      <w:r>
        <w:rPr>
          <w:rFonts w:hint="eastAsia"/>
          <w:b/>
          <w:bCs/>
          <w:highlight w:val="none"/>
          <w:lang w:val="en-GB"/>
        </w:rPr>
        <w:t>（</w:t>
      </w:r>
      <w:r>
        <w:rPr>
          <w:rFonts w:hint="eastAsia"/>
          <w:b/>
          <w:bCs/>
          <w:highlight w:val="none"/>
        </w:rPr>
        <w:t>1</w:t>
      </w:r>
      <w:r>
        <w:rPr>
          <w:rFonts w:hint="eastAsia"/>
          <w:b/>
          <w:bCs/>
          <w:highlight w:val="none"/>
          <w:lang w:val="en-GB"/>
        </w:rPr>
        <w:t>）未提交响应书；</w:t>
      </w:r>
    </w:p>
    <w:p w14:paraId="3236253A">
      <w:pPr>
        <w:ind w:firstLine="482"/>
        <w:rPr>
          <w:rFonts w:hint="eastAsia"/>
          <w:b/>
          <w:bCs/>
          <w:highlight w:val="none"/>
          <w:lang w:val="en-GB"/>
        </w:rPr>
      </w:pPr>
      <w:r>
        <w:rPr>
          <w:rFonts w:hint="eastAsia"/>
          <w:b/>
          <w:bCs/>
          <w:highlight w:val="none"/>
          <w:lang w:val="en-GB"/>
        </w:rPr>
        <w:t>（</w:t>
      </w:r>
      <w:r>
        <w:rPr>
          <w:rFonts w:hint="eastAsia"/>
          <w:b/>
          <w:bCs/>
          <w:highlight w:val="none"/>
        </w:rPr>
        <w:t>2</w:t>
      </w:r>
      <w:r>
        <w:rPr>
          <w:rFonts w:hint="eastAsia"/>
          <w:b/>
          <w:bCs/>
          <w:highlight w:val="none"/>
          <w:lang w:val="en-GB"/>
        </w:rPr>
        <w:t>）未提交报价表；</w:t>
      </w:r>
    </w:p>
    <w:p w14:paraId="2FD96DC1">
      <w:pPr>
        <w:ind w:firstLine="482"/>
        <w:rPr>
          <w:rFonts w:hint="eastAsia"/>
          <w:b/>
          <w:bCs/>
          <w:highlight w:val="none"/>
          <w:lang w:val="en-GB"/>
        </w:rPr>
      </w:pPr>
      <w:r>
        <w:rPr>
          <w:rFonts w:hint="eastAsia"/>
          <w:b/>
          <w:bCs/>
          <w:highlight w:val="none"/>
          <w:lang w:val="en-GB"/>
        </w:rPr>
        <w:t>（</w:t>
      </w:r>
      <w:r>
        <w:rPr>
          <w:rFonts w:hint="eastAsia"/>
          <w:b/>
          <w:bCs/>
          <w:highlight w:val="none"/>
        </w:rPr>
        <w:t>3</w:t>
      </w:r>
      <w:r>
        <w:rPr>
          <w:rFonts w:hint="eastAsia"/>
          <w:b/>
          <w:bCs/>
          <w:highlight w:val="none"/>
          <w:lang w:val="en-GB"/>
        </w:rPr>
        <w:t>）未提供</w:t>
      </w:r>
      <w:r>
        <w:rPr>
          <w:rFonts w:hint="eastAsia"/>
          <w:b/>
          <w:bCs/>
          <w:color w:val="auto"/>
          <w:highlight w:val="none"/>
        </w:rPr>
        <w:t>磋商</w:t>
      </w:r>
      <w:r>
        <w:rPr>
          <w:rFonts w:hint="eastAsia"/>
          <w:b/>
          <w:bCs/>
          <w:highlight w:val="none"/>
          <w:lang w:val="en-GB"/>
        </w:rPr>
        <w:t>保证金或金额不足，</w:t>
      </w:r>
      <w:r>
        <w:rPr>
          <w:rFonts w:hint="eastAsia"/>
          <w:b/>
          <w:bCs/>
          <w:color w:val="auto"/>
          <w:highlight w:val="none"/>
        </w:rPr>
        <w:t>磋商</w:t>
      </w:r>
      <w:r>
        <w:rPr>
          <w:rFonts w:hint="eastAsia"/>
          <w:b/>
          <w:bCs/>
          <w:highlight w:val="none"/>
          <w:lang w:val="en-GB"/>
        </w:rPr>
        <w:t>保证金形式不符合</w:t>
      </w:r>
      <w:r>
        <w:rPr>
          <w:rFonts w:hint="eastAsia"/>
          <w:b/>
          <w:bCs/>
          <w:color w:val="auto"/>
          <w:highlight w:val="none"/>
        </w:rPr>
        <w:t>磋商</w:t>
      </w:r>
      <w:r>
        <w:rPr>
          <w:rFonts w:hint="eastAsia"/>
          <w:b/>
          <w:bCs/>
          <w:highlight w:val="none"/>
          <w:lang w:val="en-GB"/>
        </w:rPr>
        <w:t>文件要求的；</w:t>
      </w:r>
    </w:p>
    <w:p w14:paraId="3B784A6C">
      <w:pPr>
        <w:ind w:firstLine="482"/>
        <w:rPr>
          <w:rFonts w:hint="eastAsia"/>
          <w:b/>
          <w:bCs/>
          <w:highlight w:val="none"/>
          <w:lang w:val="en-GB"/>
        </w:rPr>
      </w:pPr>
      <w:r>
        <w:rPr>
          <w:rFonts w:hint="eastAsia"/>
          <w:b/>
          <w:bCs/>
          <w:highlight w:val="none"/>
          <w:lang w:val="en-GB"/>
        </w:rPr>
        <w:t>（</w:t>
      </w:r>
      <w:r>
        <w:rPr>
          <w:rFonts w:hint="eastAsia"/>
          <w:b/>
          <w:bCs/>
          <w:highlight w:val="none"/>
        </w:rPr>
        <w:t>4</w:t>
      </w:r>
      <w:r>
        <w:rPr>
          <w:rFonts w:hint="eastAsia"/>
          <w:b/>
          <w:bCs/>
          <w:highlight w:val="none"/>
          <w:lang w:val="en-GB"/>
        </w:rPr>
        <w:t>）未按竞争性</w:t>
      </w:r>
      <w:r>
        <w:rPr>
          <w:rFonts w:hint="eastAsia"/>
          <w:b/>
          <w:bCs/>
          <w:color w:val="auto"/>
          <w:highlight w:val="none"/>
        </w:rPr>
        <w:t>磋商</w:t>
      </w:r>
      <w:r>
        <w:rPr>
          <w:rFonts w:hint="eastAsia"/>
          <w:b/>
          <w:bCs/>
          <w:highlight w:val="none"/>
          <w:lang w:val="en-GB"/>
        </w:rPr>
        <w:t>文件“第四章</w:t>
      </w:r>
      <w:r>
        <w:rPr>
          <w:rFonts w:hint="eastAsia"/>
          <w:b/>
          <w:bCs/>
          <w:highlight w:val="none"/>
        </w:rPr>
        <w:t xml:space="preserve"> </w:t>
      </w:r>
      <w:r>
        <w:rPr>
          <w:rFonts w:hint="eastAsia"/>
          <w:b/>
          <w:bCs/>
          <w:highlight w:val="none"/>
          <w:lang w:val="en-GB"/>
        </w:rPr>
        <w:t>响应文件格式</w:t>
      </w:r>
      <w:r>
        <w:rPr>
          <w:rFonts w:hint="eastAsia"/>
          <w:b/>
          <w:bCs/>
          <w:highlight w:val="none"/>
        </w:rPr>
        <w:t>7</w:t>
      </w:r>
      <w:r>
        <w:rPr>
          <w:rFonts w:hint="eastAsia"/>
          <w:b/>
          <w:bCs/>
          <w:highlight w:val="none"/>
          <w:lang w:val="en-GB"/>
        </w:rPr>
        <w:t>”的规定提供资格证明文件的；</w:t>
      </w:r>
    </w:p>
    <w:p w14:paraId="4881BC0B">
      <w:pPr>
        <w:ind w:firstLine="482"/>
        <w:rPr>
          <w:b/>
          <w:bCs/>
          <w:highlight w:val="none"/>
        </w:rPr>
      </w:pPr>
      <w:r>
        <w:rPr>
          <w:rFonts w:hint="eastAsia"/>
          <w:b/>
          <w:bCs/>
          <w:highlight w:val="none"/>
          <w:lang w:val="en-GB"/>
        </w:rPr>
        <w:t>（</w:t>
      </w:r>
      <w:r>
        <w:rPr>
          <w:rFonts w:hint="eastAsia"/>
          <w:b/>
          <w:bCs/>
          <w:highlight w:val="none"/>
        </w:rPr>
        <w:t>5</w:t>
      </w:r>
      <w:r>
        <w:rPr>
          <w:rFonts w:hint="eastAsia"/>
          <w:b/>
          <w:bCs/>
          <w:highlight w:val="none"/>
          <w:lang w:val="en-GB"/>
        </w:rPr>
        <w:t>）</w:t>
      </w:r>
      <w:r>
        <w:rPr>
          <w:rFonts w:hint="eastAsia"/>
          <w:b/>
          <w:bCs/>
          <w:highlight w:val="none"/>
        </w:rPr>
        <w:t>未按</w:t>
      </w:r>
      <w:r>
        <w:rPr>
          <w:rFonts w:hint="eastAsia"/>
          <w:b/>
          <w:bCs/>
          <w:color w:val="auto"/>
          <w:highlight w:val="none"/>
        </w:rPr>
        <w:t>磋商</w:t>
      </w:r>
      <w:r>
        <w:rPr>
          <w:rFonts w:hint="eastAsia"/>
          <w:b/>
          <w:bCs/>
          <w:highlight w:val="none"/>
        </w:rPr>
        <w:t>文件要求签字、签章的，或签字（签章）人无法定代表人有效委托的；</w:t>
      </w:r>
    </w:p>
    <w:p w14:paraId="10E3576C">
      <w:pPr>
        <w:ind w:firstLine="482"/>
        <w:rPr>
          <w:rFonts w:hint="eastAsia"/>
          <w:b/>
          <w:bCs/>
          <w:highlight w:val="none"/>
          <w:lang w:val="en-GB"/>
        </w:rPr>
      </w:pPr>
      <w:r>
        <w:rPr>
          <w:rFonts w:hint="eastAsia"/>
          <w:b/>
          <w:bCs/>
          <w:highlight w:val="none"/>
          <w:lang w:val="en-GB"/>
        </w:rPr>
        <w:t>（</w:t>
      </w:r>
      <w:r>
        <w:rPr>
          <w:rFonts w:hint="eastAsia"/>
          <w:b/>
          <w:bCs/>
          <w:highlight w:val="none"/>
        </w:rPr>
        <w:t>6</w:t>
      </w:r>
      <w:r>
        <w:rPr>
          <w:rFonts w:hint="eastAsia"/>
          <w:b/>
          <w:bCs/>
          <w:highlight w:val="none"/>
          <w:lang w:val="en-GB"/>
        </w:rPr>
        <w:t>）</w:t>
      </w:r>
      <w:r>
        <w:rPr>
          <w:rFonts w:hint="eastAsia"/>
          <w:b/>
          <w:bCs/>
          <w:color w:val="auto"/>
          <w:highlight w:val="none"/>
        </w:rPr>
        <w:t>磋商</w:t>
      </w:r>
      <w:r>
        <w:rPr>
          <w:rFonts w:hint="eastAsia"/>
          <w:b/>
          <w:bCs/>
          <w:highlight w:val="none"/>
          <w:lang w:val="en-GB"/>
        </w:rPr>
        <w:t>有效期响应不足的；</w:t>
      </w:r>
    </w:p>
    <w:p w14:paraId="21AB9509">
      <w:pPr>
        <w:ind w:firstLine="482"/>
        <w:rPr>
          <w:rFonts w:hint="eastAsia"/>
          <w:b/>
          <w:bCs/>
          <w:highlight w:val="none"/>
          <w:lang w:val="en-GB"/>
        </w:rPr>
      </w:pPr>
      <w:r>
        <w:rPr>
          <w:rFonts w:hint="eastAsia"/>
          <w:b/>
          <w:bCs/>
          <w:highlight w:val="none"/>
          <w:lang w:val="en-GB"/>
        </w:rPr>
        <w:t>（</w:t>
      </w:r>
      <w:r>
        <w:rPr>
          <w:rFonts w:hint="eastAsia"/>
          <w:b/>
          <w:bCs/>
          <w:highlight w:val="none"/>
        </w:rPr>
        <w:t>7</w:t>
      </w:r>
      <w:r>
        <w:rPr>
          <w:rFonts w:hint="eastAsia"/>
          <w:b/>
          <w:bCs/>
          <w:highlight w:val="none"/>
          <w:lang w:val="en-GB"/>
        </w:rPr>
        <w:t>）技术文件技术规格中的响应与事实不符或虚假响应的；</w:t>
      </w:r>
    </w:p>
    <w:p w14:paraId="2D3EEAA1">
      <w:pPr>
        <w:ind w:firstLine="482"/>
        <w:rPr>
          <w:rFonts w:hint="eastAsia"/>
          <w:b/>
          <w:bCs/>
          <w:highlight w:val="none"/>
          <w:lang w:val="en-GB"/>
        </w:rPr>
      </w:pPr>
      <w:r>
        <w:rPr>
          <w:rFonts w:hint="eastAsia"/>
          <w:b/>
          <w:bCs/>
          <w:highlight w:val="none"/>
          <w:lang w:val="en-GB"/>
        </w:rPr>
        <w:t>（</w:t>
      </w:r>
      <w:r>
        <w:rPr>
          <w:rFonts w:hint="eastAsia"/>
          <w:b/>
          <w:bCs/>
          <w:highlight w:val="none"/>
        </w:rPr>
        <w:t>8</w:t>
      </w:r>
      <w:r>
        <w:rPr>
          <w:rFonts w:hint="eastAsia"/>
          <w:b/>
          <w:bCs/>
          <w:highlight w:val="none"/>
          <w:lang w:val="en-GB"/>
        </w:rPr>
        <w:t>）超过了采购项目</w:t>
      </w:r>
      <w:r>
        <w:rPr>
          <w:rFonts w:hint="eastAsia"/>
          <w:b/>
          <w:bCs/>
          <w:highlight w:val="none"/>
          <w:lang w:val="en-US" w:eastAsia="zh-CN"/>
        </w:rPr>
        <w:t>控制价</w:t>
      </w:r>
      <w:r>
        <w:rPr>
          <w:rFonts w:hint="eastAsia"/>
          <w:b/>
          <w:bCs/>
          <w:highlight w:val="none"/>
          <w:lang w:val="en-GB"/>
        </w:rPr>
        <w:t>的；</w:t>
      </w:r>
    </w:p>
    <w:p w14:paraId="34ED68A6">
      <w:pPr>
        <w:ind w:firstLine="482"/>
        <w:rPr>
          <w:rFonts w:hint="eastAsia" w:ascii="Times New Roman" w:hAnsi="Times New Roman"/>
          <w:b/>
          <w:bCs/>
          <w:highlight w:val="none"/>
          <w:lang w:val="en-GB"/>
        </w:rPr>
      </w:pPr>
      <w:r>
        <w:rPr>
          <w:rFonts w:hint="eastAsia" w:ascii="Times New Roman" w:hAnsi="Times New Roman"/>
          <w:b/>
          <w:bCs/>
          <w:highlight w:val="none"/>
          <w:lang w:val="en-GB"/>
        </w:rPr>
        <w:t>（</w:t>
      </w:r>
      <w:r>
        <w:rPr>
          <w:rFonts w:hint="eastAsia" w:ascii="Times New Roman" w:hAnsi="Times New Roman"/>
          <w:b/>
          <w:bCs/>
          <w:highlight w:val="none"/>
        </w:rPr>
        <w:t>9</w:t>
      </w:r>
      <w:r>
        <w:rPr>
          <w:rFonts w:hint="eastAsia" w:ascii="Times New Roman" w:hAnsi="Times New Roman"/>
          <w:b/>
          <w:bCs/>
          <w:highlight w:val="none"/>
          <w:lang w:val="en-GB"/>
        </w:rPr>
        <w:t>）</w:t>
      </w:r>
      <w:r>
        <w:rPr>
          <w:rFonts w:hint="eastAsia" w:ascii="Times New Roman" w:hAnsi="Times New Roman"/>
          <w:b/>
          <w:bCs/>
          <w:highlight w:val="none"/>
          <w:lang w:val="en-GB" w:eastAsia="zh-CN"/>
        </w:rPr>
        <w:t>响应文件</w:t>
      </w:r>
      <w:r>
        <w:rPr>
          <w:rFonts w:hint="eastAsia" w:ascii="Times New Roman" w:hAnsi="Times New Roman"/>
          <w:b/>
          <w:bCs/>
          <w:highlight w:val="none"/>
          <w:lang w:val="en-GB"/>
        </w:rPr>
        <w:t>附有</w:t>
      </w:r>
      <w:r>
        <w:rPr>
          <w:rFonts w:hint="eastAsia" w:ascii="Times New Roman" w:hAnsi="Times New Roman"/>
          <w:b/>
          <w:bCs/>
          <w:highlight w:val="none"/>
          <w:lang w:val="en-GB" w:eastAsia="zh-CN"/>
        </w:rPr>
        <w:t>采购人</w:t>
      </w:r>
      <w:r>
        <w:rPr>
          <w:rFonts w:hint="eastAsia" w:ascii="Times New Roman" w:hAnsi="Times New Roman"/>
          <w:b/>
          <w:bCs/>
          <w:highlight w:val="none"/>
          <w:lang w:val="en-GB"/>
        </w:rPr>
        <w:t>不能接受的条件;</w:t>
      </w:r>
    </w:p>
    <w:p w14:paraId="7BBB55BE">
      <w:pPr>
        <w:bidi w:val="0"/>
        <w:rPr>
          <w:color w:val="auto"/>
          <w:highlight w:val="none"/>
          <w:lang w:val="en-GB"/>
        </w:rPr>
      </w:pPr>
      <w:r>
        <w:rPr>
          <w:rFonts w:hint="eastAsia"/>
          <w:b/>
          <w:bCs/>
          <w:highlight w:val="none"/>
          <w:lang w:val="en-GB"/>
        </w:rPr>
        <w:t>（</w:t>
      </w:r>
      <w:r>
        <w:rPr>
          <w:rFonts w:hint="eastAsia"/>
          <w:b/>
          <w:bCs/>
          <w:highlight w:val="none"/>
        </w:rPr>
        <w:t>10</w:t>
      </w:r>
      <w:r>
        <w:rPr>
          <w:rFonts w:hint="eastAsia"/>
          <w:b/>
          <w:bCs/>
          <w:highlight w:val="none"/>
          <w:lang w:val="en-GB"/>
        </w:rPr>
        <w:t>）</w:t>
      </w:r>
      <w:r>
        <w:rPr>
          <w:rFonts w:hint="eastAsia"/>
          <w:b/>
          <w:bCs/>
          <w:color w:val="auto"/>
          <w:highlight w:val="none"/>
        </w:rPr>
        <w:t>磋商</w:t>
      </w:r>
      <w:r>
        <w:rPr>
          <w:rFonts w:hint="eastAsia"/>
          <w:b/>
          <w:bCs/>
          <w:highlight w:val="none"/>
          <w:lang w:val="en-GB"/>
        </w:rPr>
        <w:t>文件规定的其他响应无效条款。</w:t>
      </w:r>
    </w:p>
    <w:p w14:paraId="38542D0B">
      <w:pPr>
        <w:ind w:firstLine="480"/>
        <w:rPr>
          <w:rFonts w:hint="eastAsia"/>
          <w:highlight w:val="none"/>
        </w:rPr>
      </w:pPr>
      <w:r>
        <w:rPr>
          <w:rFonts w:hint="eastAsia"/>
          <w:highlight w:val="none"/>
        </w:rPr>
        <w:t>2</w:t>
      </w:r>
      <w:r>
        <w:rPr>
          <w:rFonts w:hint="eastAsia"/>
          <w:highlight w:val="none"/>
          <w:lang w:val="en-US" w:eastAsia="zh-CN"/>
        </w:rPr>
        <w:t>3</w:t>
      </w:r>
      <w:r>
        <w:rPr>
          <w:rFonts w:hint="eastAsia"/>
          <w:highlight w:val="none"/>
        </w:rPr>
        <w:t>.3</w:t>
      </w:r>
      <w:r>
        <w:rPr>
          <w:rFonts w:hint="eastAsia"/>
          <w:highlight w:val="none"/>
          <w:lang w:eastAsia="zh-CN"/>
        </w:rPr>
        <w:t>磋商</w:t>
      </w:r>
      <w:r>
        <w:rPr>
          <w:rFonts w:hint="eastAsia"/>
          <w:highlight w:val="none"/>
        </w:rPr>
        <w:t>步骤</w:t>
      </w:r>
    </w:p>
    <w:p w14:paraId="3E3A85D4">
      <w:pPr>
        <w:bidi w:val="0"/>
        <w:rPr>
          <w:b/>
          <w:bCs/>
          <w:color w:val="auto"/>
          <w:highlight w:val="none"/>
        </w:rPr>
      </w:pPr>
      <w:r>
        <w:rPr>
          <w:rFonts w:hint="eastAsia"/>
          <w:highlight w:val="none"/>
          <w:lang w:val="en-US" w:eastAsia="zh-CN"/>
        </w:rPr>
        <w:t>多轮报价，</w:t>
      </w:r>
      <w:r>
        <w:rPr>
          <w:rFonts w:hint="eastAsia"/>
          <w:highlight w:val="none"/>
        </w:rPr>
        <w:t>详见“供应商须知前附表”。</w:t>
      </w:r>
    </w:p>
    <w:p w14:paraId="59B76DF7">
      <w:pPr>
        <w:ind w:firstLine="482"/>
        <w:rPr>
          <w:rFonts w:hint="eastAsia"/>
          <w:b/>
          <w:bCs/>
          <w:highlight w:val="none"/>
        </w:rPr>
      </w:pPr>
      <w:r>
        <w:rPr>
          <w:rFonts w:hint="eastAsia"/>
          <w:b/>
          <w:bCs/>
          <w:highlight w:val="none"/>
        </w:rPr>
        <w:t>2</w:t>
      </w:r>
      <w:r>
        <w:rPr>
          <w:rFonts w:hint="eastAsia"/>
          <w:b/>
          <w:bCs/>
          <w:highlight w:val="none"/>
          <w:lang w:val="en-US" w:eastAsia="zh-CN"/>
        </w:rPr>
        <w:t>3</w:t>
      </w:r>
      <w:r>
        <w:rPr>
          <w:rFonts w:hint="eastAsia"/>
          <w:b/>
          <w:bCs/>
          <w:highlight w:val="none"/>
        </w:rPr>
        <w:t>.</w:t>
      </w:r>
      <w:r>
        <w:rPr>
          <w:rFonts w:hint="eastAsia"/>
          <w:b/>
          <w:bCs/>
          <w:highlight w:val="none"/>
          <w:lang w:val="en-US" w:eastAsia="zh-CN"/>
        </w:rPr>
        <w:t>4</w:t>
      </w:r>
      <w:r>
        <w:rPr>
          <w:rFonts w:hint="eastAsia"/>
          <w:b/>
          <w:bCs/>
          <w:highlight w:val="none"/>
        </w:rPr>
        <w:t>最后报价要求</w:t>
      </w:r>
    </w:p>
    <w:p w14:paraId="02AE1D22">
      <w:pPr>
        <w:bidi w:val="0"/>
        <w:ind w:left="0" w:leftChars="0" w:firstLine="480" w:firstLineChars="200"/>
        <w:jc w:val="left"/>
        <w:rPr>
          <w:rFonts w:hint="eastAsia" w:eastAsia="仿宋_GB2312"/>
          <w:color w:val="auto"/>
          <w:highlight w:val="none"/>
          <w:lang w:val="en-US" w:eastAsia="zh-CN"/>
        </w:rPr>
      </w:pPr>
      <w:r>
        <w:rPr>
          <w:rFonts w:hint="eastAsia"/>
          <w:highlight w:val="none"/>
        </w:rPr>
        <w:t>详见“供应商须知前附表”。</w:t>
      </w:r>
    </w:p>
    <w:p w14:paraId="08F924B5">
      <w:pPr>
        <w:bidi w:val="0"/>
        <w:rPr>
          <w:b/>
          <w:bCs/>
          <w:color w:val="auto"/>
          <w:highlight w:val="none"/>
        </w:rPr>
      </w:pPr>
      <w:r>
        <w:rPr>
          <w:rFonts w:hint="eastAsia"/>
          <w:b/>
          <w:bCs/>
          <w:color w:val="auto"/>
          <w:highlight w:val="none"/>
        </w:rPr>
        <w:t>2</w:t>
      </w:r>
      <w:r>
        <w:rPr>
          <w:rFonts w:hint="eastAsia"/>
          <w:b/>
          <w:bCs/>
          <w:color w:val="auto"/>
          <w:highlight w:val="none"/>
          <w:lang w:val="en-US" w:eastAsia="zh-CN"/>
        </w:rPr>
        <w:t>4</w:t>
      </w:r>
      <w:r>
        <w:rPr>
          <w:rFonts w:hint="eastAsia"/>
          <w:b/>
          <w:bCs/>
          <w:color w:val="auto"/>
          <w:highlight w:val="none"/>
        </w:rPr>
        <w:t>. 与磋商小组的接触</w:t>
      </w:r>
    </w:p>
    <w:p w14:paraId="76A3385D">
      <w:pPr>
        <w:bidi w:val="0"/>
        <w:rPr>
          <w:color w:val="auto"/>
          <w:highlight w:val="none"/>
          <w:lang w:val="en-GB"/>
        </w:rPr>
      </w:pPr>
      <w:r>
        <w:rPr>
          <w:rFonts w:hint="eastAsia"/>
          <w:color w:val="auto"/>
          <w:highlight w:val="none"/>
          <w:lang w:val="en-GB"/>
        </w:rPr>
        <w:t>（1）除按本须知“第2</w:t>
      </w:r>
      <w:r>
        <w:rPr>
          <w:rFonts w:hint="eastAsia"/>
          <w:color w:val="auto"/>
          <w:highlight w:val="none"/>
          <w:lang w:val="en-US" w:eastAsia="zh-CN"/>
        </w:rPr>
        <w:t>3</w:t>
      </w:r>
      <w:r>
        <w:rPr>
          <w:rFonts w:hint="eastAsia"/>
          <w:color w:val="auto"/>
          <w:highlight w:val="none"/>
          <w:lang w:val="en-GB"/>
        </w:rPr>
        <w:t>条”规定外，从磋商之日起至授予合同期间，供应商不得就其磋商有关事项与磋商小组私下接触。</w:t>
      </w:r>
    </w:p>
    <w:p w14:paraId="0F0733F5">
      <w:pPr>
        <w:bidi w:val="0"/>
        <w:rPr>
          <w:color w:val="auto"/>
          <w:highlight w:val="none"/>
          <w:lang w:val="en-GB"/>
        </w:rPr>
      </w:pPr>
      <w:r>
        <w:rPr>
          <w:rFonts w:hint="eastAsia"/>
          <w:color w:val="auto"/>
          <w:highlight w:val="none"/>
          <w:lang w:val="en-GB"/>
        </w:rPr>
        <w:t>（2）供应商试图对磋商小组的评审施加任何影响，都可能导致其响应文件作无效处理。</w:t>
      </w:r>
    </w:p>
    <w:p w14:paraId="21BD26ED">
      <w:pPr>
        <w:bidi w:val="0"/>
        <w:rPr>
          <w:b/>
          <w:bCs/>
          <w:color w:val="auto"/>
          <w:highlight w:val="none"/>
        </w:rPr>
      </w:pPr>
      <w:bookmarkStart w:id="203" w:name="_Toc376848253"/>
      <w:r>
        <w:rPr>
          <w:rFonts w:hint="eastAsia"/>
          <w:b/>
          <w:bCs/>
          <w:color w:val="auto"/>
          <w:highlight w:val="none"/>
        </w:rPr>
        <w:t>2</w:t>
      </w:r>
      <w:r>
        <w:rPr>
          <w:rFonts w:hint="eastAsia"/>
          <w:b/>
          <w:bCs/>
          <w:color w:val="auto"/>
          <w:highlight w:val="none"/>
          <w:lang w:val="en-US" w:eastAsia="zh-CN"/>
        </w:rPr>
        <w:t>5</w:t>
      </w:r>
      <w:r>
        <w:rPr>
          <w:rFonts w:hint="eastAsia"/>
          <w:b/>
          <w:bCs/>
          <w:color w:val="auto"/>
          <w:highlight w:val="none"/>
        </w:rPr>
        <w:t>. 终止磋商活动的情形</w:t>
      </w:r>
    </w:p>
    <w:p w14:paraId="6C38B558">
      <w:pPr>
        <w:ind w:firstLine="480"/>
        <w:rPr>
          <w:rFonts w:hint="eastAsia"/>
          <w:highlight w:val="none"/>
          <w:lang w:val="en-GB"/>
        </w:rPr>
      </w:pPr>
      <w:r>
        <w:rPr>
          <w:rFonts w:hint="eastAsia"/>
          <w:highlight w:val="none"/>
          <w:lang w:val="en-GB"/>
        </w:rPr>
        <w:t>出现下列情形之一的，终止竞争性</w:t>
      </w:r>
      <w:r>
        <w:rPr>
          <w:rFonts w:hint="eastAsia"/>
          <w:color w:val="auto"/>
          <w:highlight w:val="none"/>
          <w:lang w:val="en-GB"/>
        </w:rPr>
        <w:t>磋商</w:t>
      </w:r>
      <w:r>
        <w:rPr>
          <w:rFonts w:hint="eastAsia"/>
          <w:highlight w:val="none"/>
          <w:lang w:val="en-GB"/>
        </w:rPr>
        <w:t>采购活动：</w:t>
      </w:r>
    </w:p>
    <w:p w14:paraId="2AB61087">
      <w:pPr>
        <w:ind w:firstLine="480"/>
        <w:rPr>
          <w:rFonts w:hint="eastAsia"/>
          <w:highlight w:val="none"/>
        </w:rPr>
      </w:pPr>
      <w:r>
        <w:rPr>
          <w:rFonts w:hint="eastAsia"/>
          <w:highlight w:val="none"/>
        </w:rPr>
        <w:t>（1）因情况变化，不再符合规定的竞争性</w:t>
      </w:r>
      <w:r>
        <w:rPr>
          <w:rFonts w:hint="eastAsia"/>
          <w:color w:val="auto"/>
          <w:highlight w:val="none"/>
          <w:lang w:val="en-GB"/>
        </w:rPr>
        <w:t>磋商</w:t>
      </w:r>
      <w:r>
        <w:rPr>
          <w:rFonts w:hint="eastAsia"/>
          <w:highlight w:val="none"/>
        </w:rPr>
        <w:t>采购方式适用情形的；</w:t>
      </w:r>
    </w:p>
    <w:p w14:paraId="4FC6A81E">
      <w:pPr>
        <w:ind w:firstLine="480"/>
        <w:rPr>
          <w:rFonts w:hint="eastAsia"/>
          <w:highlight w:val="none"/>
        </w:rPr>
      </w:pPr>
      <w:r>
        <w:rPr>
          <w:rFonts w:hint="eastAsia"/>
          <w:highlight w:val="none"/>
        </w:rPr>
        <w:t>（2）出现影响采购公正的违法、违规行为的。</w:t>
      </w:r>
    </w:p>
    <w:p w14:paraId="6D1698F1">
      <w:pPr>
        <w:bidi w:val="0"/>
        <w:rPr>
          <w:b w:val="0"/>
          <w:bCs w:val="0"/>
          <w:color w:val="auto"/>
          <w:highlight w:val="none"/>
        </w:rPr>
      </w:pPr>
      <w:r>
        <w:rPr>
          <w:rFonts w:hint="eastAsia"/>
          <w:highlight w:val="none"/>
        </w:rPr>
        <w:t>（3）在采购过程中符合竞争要求的供应商或者报价未超过采购预算的供应商不足</w:t>
      </w:r>
      <w:r>
        <w:rPr>
          <w:rFonts w:hint="eastAsia"/>
          <w:highlight w:val="none"/>
          <w:lang w:val="en-US" w:eastAsia="zh-CN"/>
        </w:rPr>
        <w:t>2</w:t>
      </w:r>
      <w:r>
        <w:rPr>
          <w:rFonts w:hint="eastAsia"/>
          <w:highlight w:val="none"/>
        </w:rPr>
        <w:t>家的。</w:t>
      </w:r>
    </w:p>
    <w:p w14:paraId="41DCEC8B">
      <w:pPr>
        <w:pStyle w:val="3"/>
        <w:numPr>
          <w:ilvl w:val="0"/>
          <w:numId w:val="0"/>
        </w:numPr>
        <w:bidi w:val="0"/>
        <w:ind w:left="0" w:leftChars="0" w:firstLine="480" w:firstLineChars="200"/>
        <w:rPr>
          <w:highlight w:val="none"/>
        </w:rPr>
      </w:pPr>
      <w:bookmarkStart w:id="204" w:name="_Toc32"/>
      <w:bookmarkStart w:id="205" w:name="_Toc15303"/>
      <w:bookmarkStart w:id="206" w:name="_Toc31716"/>
      <w:bookmarkStart w:id="207" w:name="_Toc31215"/>
      <w:bookmarkStart w:id="208" w:name="_Toc27421"/>
      <w:bookmarkStart w:id="209" w:name="_Toc18722"/>
      <w:bookmarkStart w:id="210" w:name="_Toc22701"/>
      <w:bookmarkStart w:id="211" w:name="_Toc505020159"/>
      <w:bookmarkStart w:id="212" w:name="_Toc20272"/>
      <w:bookmarkStart w:id="213" w:name="_Toc463859524"/>
      <w:bookmarkStart w:id="214" w:name="_Toc15109"/>
      <w:bookmarkStart w:id="215" w:name="_Toc377297026"/>
      <w:r>
        <w:rPr>
          <w:rFonts w:hint="eastAsia" w:ascii="仿宋_GB2312" w:hAnsi="仿宋_GB2312" w:eastAsia="仿宋_GB2312" w:cs="Times New Roman"/>
          <w:b/>
          <w:bCs/>
          <w:kern w:val="2"/>
          <w:sz w:val="24"/>
          <w:szCs w:val="32"/>
          <w:lang w:val="en-US" w:eastAsia="zh-CN" w:bidi="ar-SA"/>
        </w:rPr>
        <w:t>七、</w:t>
      </w:r>
      <w:r>
        <w:rPr>
          <w:rFonts w:hint="eastAsia"/>
          <w:highlight w:val="none"/>
        </w:rPr>
        <w:t>推荐成交候选供应商、确定成交供应商</w:t>
      </w:r>
      <w:bookmarkEnd w:id="204"/>
      <w:bookmarkEnd w:id="205"/>
      <w:bookmarkEnd w:id="206"/>
      <w:bookmarkEnd w:id="207"/>
      <w:bookmarkEnd w:id="208"/>
      <w:bookmarkEnd w:id="209"/>
      <w:bookmarkEnd w:id="210"/>
      <w:bookmarkEnd w:id="211"/>
      <w:bookmarkEnd w:id="212"/>
      <w:bookmarkEnd w:id="213"/>
      <w:bookmarkEnd w:id="214"/>
    </w:p>
    <w:p w14:paraId="59295E2F">
      <w:pPr>
        <w:bidi w:val="0"/>
        <w:rPr>
          <w:b/>
          <w:bCs/>
          <w:color w:val="auto"/>
          <w:highlight w:val="none"/>
        </w:rPr>
      </w:pPr>
      <w:r>
        <w:rPr>
          <w:rFonts w:hint="eastAsia"/>
          <w:b/>
          <w:bCs/>
          <w:color w:val="auto"/>
          <w:highlight w:val="none"/>
        </w:rPr>
        <w:t>2</w:t>
      </w:r>
      <w:r>
        <w:rPr>
          <w:rFonts w:hint="eastAsia"/>
          <w:b/>
          <w:bCs/>
          <w:color w:val="auto"/>
          <w:highlight w:val="none"/>
          <w:lang w:val="en-US" w:eastAsia="zh-CN"/>
        </w:rPr>
        <w:t>6</w:t>
      </w:r>
      <w:r>
        <w:rPr>
          <w:rFonts w:hint="eastAsia"/>
          <w:b/>
          <w:bCs/>
          <w:color w:val="auto"/>
          <w:highlight w:val="none"/>
        </w:rPr>
        <w:t>. 推荐成交候选供应商方法</w:t>
      </w:r>
    </w:p>
    <w:p w14:paraId="34AF2EC1">
      <w:pPr>
        <w:bidi w:val="0"/>
        <w:rPr>
          <w:color w:val="auto"/>
          <w:highlight w:val="none"/>
        </w:rPr>
      </w:pPr>
      <w:r>
        <w:rPr>
          <w:rFonts w:hint="eastAsia"/>
          <w:color w:val="auto"/>
          <w:highlight w:val="none"/>
        </w:rPr>
        <w:t>（1）磋商小组根据综合评分情况，按照评审得分由高到低顺序推荐</w:t>
      </w:r>
      <w:r>
        <w:rPr>
          <w:rFonts w:hint="eastAsia"/>
          <w:color w:val="auto"/>
          <w:highlight w:val="none"/>
          <w:u w:val="none"/>
          <w:lang w:val="en-US" w:eastAsia="zh-CN"/>
        </w:rPr>
        <w:t>3</w:t>
      </w:r>
      <w:r>
        <w:rPr>
          <w:rFonts w:hint="eastAsia"/>
          <w:color w:val="auto"/>
          <w:highlight w:val="none"/>
        </w:rPr>
        <w:t>名</w:t>
      </w:r>
      <w:r>
        <w:rPr>
          <w:rFonts w:hint="eastAsia"/>
          <w:color w:val="auto"/>
          <w:highlight w:val="none"/>
          <w:lang w:val="en-US" w:eastAsia="zh-CN"/>
        </w:rPr>
        <w:t>成交</w:t>
      </w:r>
      <w:r>
        <w:rPr>
          <w:rFonts w:hint="eastAsia"/>
          <w:color w:val="auto"/>
          <w:highlight w:val="none"/>
        </w:rPr>
        <w:t>候选</w:t>
      </w:r>
      <w:r>
        <w:rPr>
          <w:rFonts w:hint="eastAsia"/>
          <w:color w:val="auto"/>
          <w:highlight w:val="none"/>
          <w:lang w:val="en-US" w:eastAsia="zh-CN"/>
        </w:rPr>
        <w:t>人</w:t>
      </w:r>
      <w:r>
        <w:rPr>
          <w:rFonts w:hint="eastAsia"/>
          <w:color w:val="auto"/>
          <w:highlight w:val="none"/>
        </w:rPr>
        <w:t>，并编写评</w:t>
      </w:r>
      <w:r>
        <w:rPr>
          <w:rFonts w:hint="eastAsia"/>
          <w:color w:val="auto"/>
          <w:highlight w:val="none"/>
          <w:lang w:val="en-US" w:eastAsia="zh-CN"/>
        </w:rPr>
        <w:t>标</w:t>
      </w:r>
      <w:r>
        <w:rPr>
          <w:rFonts w:hint="eastAsia"/>
          <w:color w:val="auto"/>
          <w:highlight w:val="none"/>
        </w:rPr>
        <w:t>报告。</w:t>
      </w:r>
    </w:p>
    <w:p w14:paraId="12F4018D">
      <w:pPr>
        <w:bidi w:val="0"/>
        <w:rPr>
          <w:color w:val="auto"/>
          <w:highlight w:val="none"/>
        </w:rPr>
      </w:pPr>
      <w:r>
        <w:rPr>
          <w:rFonts w:hint="eastAsia"/>
          <w:color w:val="auto"/>
          <w:highlight w:val="none"/>
        </w:rPr>
        <w:t>（2）评审得分相同的，按照最后报价由低到高的顺序推荐。评审得分且最后报价相同的，按照</w:t>
      </w:r>
      <w:r>
        <w:rPr>
          <w:rFonts w:hint="eastAsia"/>
          <w:color w:val="auto"/>
          <w:highlight w:val="none"/>
          <w:lang w:val="en-US" w:eastAsia="zh-CN"/>
        </w:rPr>
        <w:t>技术或工程指标</w:t>
      </w:r>
      <w:r>
        <w:rPr>
          <w:rFonts w:hint="eastAsia"/>
          <w:color w:val="auto"/>
          <w:highlight w:val="none"/>
        </w:rPr>
        <w:t>优劣</w:t>
      </w:r>
      <w:r>
        <w:rPr>
          <w:rFonts w:hint="eastAsia"/>
          <w:color w:val="auto"/>
          <w:highlight w:val="none"/>
          <w:lang w:val="en-US" w:eastAsia="zh-CN"/>
        </w:rPr>
        <w:t>顺序推荐</w:t>
      </w:r>
      <w:r>
        <w:rPr>
          <w:rFonts w:hint="eastAsia"/>
          <w:color w:val="auto"/>
          <w:highlight w:val="none"/>
        </w:rPr>
        <w:t>，最后报价相同且</w:t>
      </w:r>
      <w:r>
        <w:rPr>
          <w:rFonts w:hint="eastAsia"/>
          <w:color w:val="auto"/>
          <w:highlight w:val="none"/>
          <w:lang w:val="en-US" w:eastAsia="zh-CN"/>
        </w:rPr>
        <w:t>技术或工程指标</w:t>
      </w:r>
      <w:r>
        <w:rPr>
          <w:rFonts w:hint="eastAsia"/>
          <w:color w:val="auto"/>
          <w:highlight w:val="none"/>
        </w:rPr>
        <w:t>优劣相同的由磋商小组随机</w:t>
      </w:r>
      <w:r>
        <w:rPr>
          <w:rFonts w:hint="eastAsia"/>
          <w:color w:val="auto"/>
          <w:highlight w:val="none"/>
          <w:lang w:val="en-US" w:eastAsia="zh-CN"/>
        </w:rPr>
        <w:t>摇号</w:t>
      </w:r>
      <w:r>
        <w:rPr>
          <w:rFonts w:hint="eastAsia"/>
          <w:color w:val="auto"/>
          <w:highlight w:val="none"/>
        </w:rPr>
        <w:t>抽取确定排序。</w:t>
      </w:r>
    </w:p>
    <w:p w14:paraId="763AE384">
      <w:pPr>
        <w:bidi w:val="0"/>
        <w:rPr>
          <w:b/>
          <w:bCs/>
          <w:color w:val="auto"/>
          <w:highlight w:val="none"/>
        </w:rPr>
      </w:pPr>
      <w:r>
        <w:rPr>
          <w:rFonts w:hint="eastAsia"/>
          <w:b/>
          <w:bCs/>
          <w:color w:val="auto"/>
          <w:highlight w:val="none"/>
        </w:rPr>
        <w:t>2</w:t>
      </w:r>
      <w:r>
        <w:rPr>
          <w:rFonts w:hint="eastAsia"/>
          <w:b/>
          <w:bCs/>
          <w:color w:val="auto"/>
          <w:highlight w:val="none"/>
          <w:lang w:val="en-US" w:eastAsia="zh-CN"/>
        </w:rPr>
        <w:t>7</w:t>
      </w:r>
      <w:r>
        <w:rPr>
          <w:rFonts w:hint="eastAsia"/>
          <w:b/>
          <w:bCs/>
          <w:color w:val="auto"/>
          <w:highlight w:val="none"/>
        </w:rPr>
        <w:t>. 确定成交供应商</w:t>
      </w:r>
    </w:p>
    <w:p w14:paraId="253DEA6E">
      <w:pPr>
        <w:bidi w:val="0"/>
        <w:rPr>
          <w:color w:val="auto"/>
          <w:highlight w:val="none"/>
        </w:rPr>
      </w:pPr>
      <w:r>
        <w:rPr>
          <w:rFonts w:hint="eastAsia"/>
          <w:color w:val="auto"/>
          <w:highlight w:val="none"/>
        </w:rPr>
        <w:t>（1）</w:t>
      </w:r>
      <w:r>
        <w:rPr>
          <w:rFonts w:hint="eastAsia"/>
          <w:color w:val="auto"/>
          <w:highlight w:val="none"/>
          <w:lang w:val="en-US" w:eastAsia="zh-CN"/>
        </w:rPr>
        <w:t>磋商小组</w:t>
      </w:r>
      <w:r>
        <w:rPr>
          <w:rFonts w:hint="eastAsia"/>
          <w:color w:val="auto"/>
          <w:highlight w:val="none"/>
        </w:rPr>
        <w:t>在磋商结束后将评</w:t>
      </w:r>
      <w:r>
        <w:rPr>
          <w:rFonts w:hint="eastAsia"/>
          <w:color w:val="auto"/>
          <w:highlight w:val="none"/>
          <w:lang w:val="en-US" w:eastAsia="zh-CN"/>
        </w:rPr>
        <w:t>标</w:t>
      </w:r>
      <w:r>
        <w:rPr>
          <w:rFonts w:hint="eastAsia"/>
          <w:color w:val="auto"/>
          <w:highlight w:val="none"/>
        </w:rPr>
        <w:t xml:space="preserve">报告送采购人。 </w:t>
      </w:r>
    </w:p>
    <w:p w14:paraId="487EB665">
      <w:pPr>
        <w:bidi w:val="0"/>
        <w:rPr>
          <w:rFonts w:ascii="仿宋" w:hAnsi="仿宋" w:eastAsia="仿宋" w:cs="仿宋"/>
          <w:color w:val="auto"/>
          <w:sz w:val="23"/>
          <w:szCs w:val="23"/>
          <w:highlight w:val="none"/>
        </w:rPr>
      </w:pPr>
      <w:r>
        <w:rPr>
          <w:rFonts w:hint="eastAsia"/>
          <w:color w:val="auto"/>
          <w:highlight w:val="none"/>
        </w:rPr>
        <w:t>（2）采购人收到评</w:t>
      </w:r>
      <w:r>
        <w:rPr>
          <w:rFonts w:hint="eastAsia"/>
          <w:color w:val="auto"/>
          <w:highlight w:val="none"/>
          <w:lang w:val="en-US" w:eastAsia="zh-CN"/>
        </w:rPr>
        <w:t>标</w:t>
      </w:r>
      <w:r>
        <w:rPr>
          <w:rFonts w:hint="eastAsia"/>
          <w:color w:val="auto"/>
          <w:highlight w:val="none"/>
        </w:rPr>
        <w:t>报告后，按照评</w:t>
      </w:r>
      <w:r>
        <w:rPr>
          <w:rFonts w:hint="eastAsia"/>
          <w:color w:val="auto"/>
          <w:highlight w:val="none"/>
          <w:lang w:val="en-US" w:eastAsia="zh-CN"/>
        </w:rPr>
        <w:t>标</w:t>
      </w:r>
      <w:r>
        <w:rPr>
          <w:rFonts w:hint="eastAsia"/>
          <w:color w:val="auto"/>
          <w:highlight w:val="none"/>
        </w:rPr>
        <w:t>报告推荐的成交候选人顺序确定成交供应商，也可以事先授权磋商小组直接确定成交供应商。</w:t>
      </w:r>
    </w:p>
    <w:bookmarkEnd w:id="203"/>
    <w:bookmarkEnd w:id="215"/>
    <w:p w14:paraId="224F0497">
      <w:pPr>
        <w:pStyle w:val="3"/>
        <w:numPr>
          <w:ilvl w:val="0"/>
          <w:numId w:val="0"/>
        </w:numPr>
        <w:bidi w:val="0"/>
        <w:ind w:left="0" w:leftChars="0" w:firstLine="480" w:firstLineChars="200"/>
        <w:rPr>
          <w:highlight w:val="none"/>
        </w:rPr>
      </w:pPr>
      <w:bookmarkStart w:id="216" w:name="_Toc376848254"/>
      <w:bookmarkStart w:id="217" w:name="_Toc13378"/>
      <w:bookmarkStart w:id="218" w:name="_Toc20788"/>
      <w:bookmarkStart w:id="219" w:name="_Toc23556"/>
      <w:bookmarkStart w:id="220" w:name="_Toc5642"/>
      <w:bookmarkStart w:id="221" w:name="_Toc7145"/>
      <w:bookmarkStart w:id="222" w:name="_Toc11962"/>
      <w:bookmarkStart w:id="223" w:name="_Toc7501"/>
      <w:bookmarkStart w:id="224" w:name="_Toc15029"/>
      <w:bookmarkStart w:id="225" w:name="_Toc505020160"/>
      <w:bookmarkStart w:id="226" w:name="_Toc24992"/>
      <w:bookmarkStart w:id="227" w:name="_Toc286758340"/>
      <w:r>
        <w:rPr>
          <w:rFonts w:hint="eastAsia" w:ascii="仿宋_GB2312" w:hAnsi="仿宋_GB2312" w:eastAsia="仿宋_GB2312" w:cs="Times New Roman"/>
          <w:b/>
          <w:bCs/>
          <w:kern w:val="2"/>
          <w:sz w:val="24"/>
          <w:szCs w:val="32"/>
          <w:lang w:val="en-US" w:eastAsia="zh-CN" w:bidi="ar-SA"/>
        </w:rPr>
        <w:t>八、</w:t>
      </w:r>
      <w:r>
        <w:rPr>
          <w:rFonts w:hint="eastAsia"/>
          <w:highlight w:val="none"/>
        </w:rPr>
        <w:t>成交结果公告、</w:t>
      </w:r>
      <w:bookmarkEnd w:id="216"/>
      <w:r>
        <w:rPr>
          <w:rFonts w:hint="eastAsia"/>
          <w:highlight w:val="none"/>
        </w:rPr>
        <w:t>成交通知书</w:t>
      </w:r>
      <w:bookmarkEnd w:id="217"/>
      <w:bookmarkEnd w:id="218"/>
      <w:bookmarkEnd w:id="219"/>
      <w:bookmarkEnd w:id="220"/>
      <w:bookmarkEnd w:id="221"/>
      <w:bookmarkEnd w:id="222"/>
      <w:bookmarkEnd w:id="223"/>
      <w:bookmarkEnd w:id="224"/>
      <w:bookmarkEnd w:id="225"/>
      <w:bookmarkEnd w:id="226"/>
    </w:p>
    <w:p w14:paraId="621E2CA8">
      <w:pPr>
        <w:bidi w:val="0"/>
        <w:rPr>
          <w:b/>
          <w:bCs/>
          <w:color w:val="auto"/>
          <w:highlight w:val="none"/>
        </w:rPr>
      </w:pPr>
      <w:r>
        <w:rPr>
          <w:rFonts w:hint="eastAsia"/>
          <w:b/>
          <w:bCs/>
          <w:color w:val="auto"/>
          <w:highlight w:val="none"/>
          <w:lang w:val="en-US" w:eastAsia="zh-CN"/>
        </w:rPr>
        <w:t>28</w:t>
      </w:r>
      <w:r>
        <w:rPr>
          <w:rFonts w:hint="eastAsia"/>
          <w:b/>
          <w:bCs/>
          <w:color w:val="auto"/>
          <w:highlight w:val="none"/>
        </w:rPr>
        <w:t xml:space="preserve">. </w:t>
      </w:r>
      <w:bookmarkEnd w:id="227"/>
      <w:r>
        <w:rPr>
          <w:rFonts w:hint="eastAsia"/>
          <w:b/>
          <w:bCs/>
          <w:color w:val="auto"/>
          <w:highlight w:val="none"/>
        </w:rPr>
        <w:t>成交公告</w:t>
      </w:r>
    </w:p>
    <w:p w14:paraId="52DB8B90">
      <w:pPr>
        <w:bidi w:val="0"/>
        <w:rPr>
          <w:color w:val="auto"/>
          <w:highlight w:val="none"/>
        </w:rPr>
      </w:pPr>
      <w:r>
        <w:rPr>
          <w:rFonts w:hint="eastAsia"/>
          <w:color w:val="auto"/>
          <w:highlight w:val="none"/>
        </w:rPr>
        <w:t>成交供应商确定后，成交结果</w:t>
      </w:r>
      <w:r>
        <w:rPr>
          <w:rFonts w:hint="eastAsia"/>
          <w:color w:val="auto"/>
          <w:highlight w:val="none"/>
          <w:lang w:val="en-US" w:eastAsia="zh-CN"/>
        </w:rPr>
        <w:t>将</w:t>
      </w:r>
      <w:r>
        <w:rPr>
          <w:rFonts w:hint="eastAsia"/>
          <w:color w:val="auto"/>
          <w:highlight w:val="none"/>
        </w:rPr>
        <w:t>在</w:t>
      </w:r>
      <w:r>
        <w:rPr>
          <w:rFonts w:hint="eastAsia"/>
          <w:highlight w:val="none"/>
        </w:rPr>
        <w:t>中国招标投标公共服务平台（网址：http://www.cebpubservice.com/）、萍乡市国有企业采购平台（网址： https://pxsgqcg.jczh.com/ ）、萍乡建工集团智慧采购平台（网址：http://ztb.pxjgceg.jczh.com/）、江西萍乡建工集团有限公司电子招标平台（网址：https://ztb.jxzhhm.com/）</w:t>
      </w:r>
      <w:r>
        <w:rPr>
          <w:rFonts w:hint="eastAsia"/>
          <w:color w:val="auto"/>
          <w:highlight w:val="none"/>
        </w:rPr>
        <w:t>上</w:t>
      </w:r>
      <w:r>
        <w:rPr>
          <w:rFonts w:hint="eastAsia"/>
          <w:color w:val="auto"/>
          <w:highlight w:val="none"/>
          <w:lang w:val="en-US" w:eastAsia="zh-CN"/>
        </w:rPr>
        <w:t>进行</w:t>
      </w:r>
      <w:r>
        <w:rPr>
          <w:rFonts w:hint="eastAsia"/>
          <w:color w:val="auto"/>
          <w:highlight w:val="none"/>
        </w:rPr>
        <w:t>公示，公示期为</w:t>
      </w:r>
      <w:r>
        <w:rPr>
          <w:rFonts w:hint="eastAsia"/>
          <w:color w:val="auto"/>
          <w:highlight w:val="none"/>
          <w:lang w:val="en-US" w:eastAsia="zh-CN"/>
        </w:rPr>
        <w:t>1</w:t>
      </w:r>
      <w:r>
        <w:rPr>
          <w:rFonts w:hint="eastAsia"/>
          <w:color w:val="auto"/>
          <w:highlight w:val="none"/>
        </w:rPr>
        <w:t>个工作日。</w:t>
      </w:r>
    </w:p>
    <w:p w14:paraId="3849FC01">
      <w:pPr>
        <w:bidi w:val="0"/>
        <w:rPr>
          <w:b/>
          <w:bCs/>
          <w:color w:val="auto"/>
          <w:highlight w:val="none"/>
        </w:rPr>
      </w:pPr>
      <w:r>
        <w:rPr>
          <w:rFonts w:hint="eastAsia"/>
          <w:b/>
          <w:bCs/>
          <w:color w:val="auto"/>
          <w:highlight w:val="none"/>
          <w:lang w:val="en-US" w:eastAsia="zh-CN"/>
        </w:rPr>
        <w:t>29</w:t>
      </w:r>
      <w:r>
        <w:rPr>
          <w:rFonts w:hint="eastAsia"/>
          <w:b/>
          <w:bCs/>
          <w:color w:val="auto"/>
          <w:highlight w:val="none"/>
        </w:rPr>
        <w:t>.成交通知书</w:t>
      </w:r>
    </w:p>
    <w:p w14:paraId="4CE604B9">
      <w:pPr>
        <w:bidi w:val="0"/>
        <w:rPr>
          <w:color w:val="auto"/>
          <w:highlight w:val="none"/>
        </w:rPr>
      </w:pPr>
      <w:r>
        <w:rPr>
          <w:rFonts w:hint="eastAsia"/>
          <w:color w:val="auto"/>
          <w:highlight w:val="none"/>
          <w:lang w:val="en-US" w:eastAsia="zh-CN"/>
        </w:rPr>
        <w:t>29</w:t>
      </w:r>
      <w:r>
        <w:rPr>
          <w:rFonts w:hint="eastAsia"/>
          <w:color w:val="auto"/>
          <w:highlight w:val="none"/>
        </w:rPr>
        <w:t>.1</w:t>
      </w:r>
      <w:r>
        <w:rPr>
          <w:rFonts w:hint="eastAsia"/>
          <w:color w:val="auto"/>
          <w:highlight w:val="none"/>
          <w:lang w:val="en-US" w:eastAsia="zh-CN"/>
        </w:rPr>
        <w:t>采购人</w:t>
      </w:r>
      <w:r>
        <w:rPr>
          <w:rFonts w:hint="eastAsia"/>
          <w:color w:val="auto"/>
          <w:highlight w:val="none"/>
        </w:rPr>
        <w:t>公告成交结果，向成交供应商发出成交通知书，并通知所有未成交的供应商。</w:t>
      </w:r>
    </w:p>
    <w:p w14:paraId="2630E65C">
      <w:pPr>
        <w:bidi w:val="0"/>
        <w:rPr>
          <w:color w:val="auto"/>
          <w:highlight w:val="none"/>
        </w:rPr>
      </w:pPr>
      <w:r>
        <w:rPr>
          <w:rFonts w:hint="eastAsia"/>
          <w:color w:val="auto"/>
          <w:highlight w:val="none"/>
          <w:lang w:val="en-US" w:eastAsia="zh-CN"/>
        </w:rPr>
        <w:t>29</w:t>
      </w:r>
      <w:r>
        <w:rPr>
          <w:rFonts w:hint="eastAsia"/>
          <w:color w:val="auto"/>
          <w:highlight w:val="none"/>
        </w:rPr>
        <w:t>.2成交通知书是合同的一个组成部分。</w:t>
      </w:r>
    </w:p>
    <w:p w14:paraId="48D5AD62">
      <w:pPr>
        <w:pStyle w:val="3"/>
        <w:numPr>
          <w:ilvl w:val="0"/>
          <w:numId w:val="0"/>
        </w:numPr>
        <w:bidi w:val="0"/>
        <w:ind w:left="0" w:leftChars="0" w:firstLine="480" w:firstLineChars="200"/>
        <w:rPr>
          <w:highlight w:val="none"/>
        </w:rPr>
      </w:pPr>
      <w:bookmarkStart w:id="228" w:name="_Toc23756"/>
      <w:bookmarkStart w:id="229" w:name="_Toc20202"/>
      <w:bookmarkStart w:id="230" w:name="_Toc22790"/>
      <w:bookmarkStart w:id="231" w:name="_Toc14666"/>
      <w:bookmarkStart w:id="232" w:name="_Toc5717"/>
      <w:bookmarkStart w:id="233" w:name="_Toc27476"/>
      <w:bookmarkStart w:id="234" w:name="_Toc505020161"/>
      <w:bookmarkStart w:id="235" w:name="_Toc11511"/>
      <w:bookmarkStart w:id="236" w:name="_Toc27692"/>
      <w:bookmarkStart w:id="237" w:name="_Toc17469"/>
      <w:r>
        <w:rPr>
          <w:rFonts w:hint="eastAsia" w:ascii="仿宋_GB2312" w:hAnsi="仿宋_GB2312" w:eastAsia="仿宋_GB2312" w:cs="Times New Roman"/>
          <w:b/>
          <w:bCs/>
          <w:kern w:val="2"/>
          <w:sz w:val="24"/>
          <w:szCs w:val="32"/>
          <w:lang w:val="en-US" w:eastAsia="zh-CN" w:bidi="ar-SA"/>
        </w:rPr>
        <w:t>九、</w:t>
      </w:r>
      <w:r>
        <w:rPr>
          <w:rFonts w:hint="eastAsia"/>
          <w:highlight w:val="none"/>
        </w:rPr>
        <w:t>履约保证金、签订合同</w:t>
      </w:r>
      <w:bookmarkEnd w:id="228"/>
      <w:bookmarkEnd w:id="229"/>
      <w:bookmarkEnd w:id="230"/>
      <w:bookmarkEnd w:id="231"/>
      <w:bookmarkEnd w:id="232"/>
      <w:bookmarkEnd w:id="233"/>
      <w:bookmarkEnd w:id="234"/>
      <w:bookmarkEnd w:id="235"/>
      <w:bookmarkEnd w:id="236"/>
      <w:bookmarkEnd w:id="237"/>
    </w:p>
    <w:p w14:paraId="1C53B59C">
      <w:pPr>
        <w:bidi w:val="0"/>
        <w:rPr>
          <w:b/>
          <w:bCs/>
          <w:color w:val="auto"/>
          <w:highlight w:val="none"/>
        </w:rPr>
      </w:pPr>
      <w:bookmarkStart w:id="238" w:name="_Toc286758341"/>
      <w:bookmarkStart w:id="239" w:name="_Toc376848255"/>
      <w:r>
        <w:rPr>
          <w:rFonts w:hint="eastAsia"/>
          <w:b/>
          <w:bCs/>
          <w:color w:val="auto"/>
          <w:highlight w:val="none"/>
          <w:lang w:val="en-US" w:eastAsia="zh-CN"/>
        </w:rPr>
        <w:t>30</w:t>
      </w:r>
      <w:r>
        <w:rPr>
          <w:rFonts w:hint="eastAsia"/>
          <w:b/>
          <w:bCs/>
          <w:color w:val="auto"/>
          <w:highlight w:val="none"/>
        </w:rPr>
        <w:t>. 履约保证金</w:t>
      </w:r>
    </w:p>
    <w:p w14:paraId="1B8CB0A1">
      <w:pPr>
        <w:bidi w:val="0"/>
        <w:ind w:left="0" w:leftChars="0" w:firstLine="480" w:firstLineChars="200"/>
        <w:jc w:val="left"/>
        <w:rPr>
          <w:color w:val="auto"/>
          <w:highlight w:val="none"/>
        </w:rPr>
      </w:pPr>
      <w:r>
        <w:rPr>
          <w:rFonts w:hint="eastAsia"/>
          <w:highlight w:val="none"/>
        </w:rPr>
        <w:t>详见“供应商须知前附表”。</w:t>
      </w:r>
    </w:p>
    <w:p w14:paraId="4B166F3E">
      <w:pPr>
        <w:bidi w:val="0"/>
        <w:rPr>
          <w:b/>
          <w:bCs/>
          <w:color w:val="auto"/>
          <w:highlight w:val="none"/>
        </w:rPr>
      </w:pPr>
      <w:r>
        <w:rPr>
          <w:rFonts w:hint="eastAsia"/>
          <w:b/>
          <w:bCs/>
          <w:color w:val="auto"/>
          <w:highlight w:val="none"/>
        </w:rPr>
        <w:t>3</w:t>
      </w:r>
      <w:r>
        <w:rPr>
          <w:rFonts w:hint="eastAsia"/>
          <w:b/>
          <w:bCs/>
          <w:color w:val="auto"/>
          <w:highlight w:val="none"/>
          <w:lang w:val="en-US" w:eastAsia="zh-CN"/>
        </w:rPr>
        <w:t>1</w:t>
      </w:r>
      <w:r>
        <w:rPr>
          <w:rFonts w:hint="eastAsia"/>
          <w:b/>
          <w:bCs/>
          <w:color w:val="auto"/>
          <w:highlight w:val="none"/>
        </w:rPr>
        <w:t>. 签订合同</w:t>
      </w:r>
    </w:p>
    <w:p w14:paraId="431443F8">
      <w:pPr>
        <w:bidi w:val="0"/>
        <w:rPr>
          <w:color w:val="auto"/>
          <w:highlight w:val="none"/>
        </w:rPr>
      </w:pPr>
      <w:r>
        <w:rPr>
          <w:rFonts w:hint="eastAsia"/>
          <w:color w:val="auto"/>
          <w:highlight w:val="none"/>
        </w:rPr>
        <w:t>3</w:t>
      </w:r>
      <w:r>
        <w:rPr>
          <w:rFonts w:hint="eastAsia"/>
          <w:color w:val="auto"/>
          <w:highlight w:val="none"/>
          <w:lang w:val="en-US" w:eastAsia="zh-CN"/>
        </w:rPr>
        <w:t>1</w:t>
      </w:r>
      <w:r>
        <w:rPr>
          <w:rFonts w:hint="eastAsia"/>
          <w:color w:val="auto"/>
          <w:highlight w:val="none"/>
        </w:rPr>
        <w:t>.1 成交供应商应按成交通知书规定的时间、地点与采购人签订合同，否则按磋商文件“1</w:t>
      </w:r>
      <w:r>
        <w:rPr>
          <w:rFonts w:hint="eastAsia"/>
          <w:color w:val="auto"/>
          <w:highlight w:val="none"/>
          <w:lang w:val="en-US" w:eastAsia="zh-CN"/>
        </w:rPr>
        <w:t>4</w:t>
      </w:r>
      <w:r>
        <w:rPr>
          <w:rFonts w:hint="eastAsia"/>
          <w:color w:val="auto"/>
          <w:highlight w:val="none"/>
        </w:rPr>
        <w:t>.5”条处理。</w:t>
      </w:r>
    </w:p>
    <w:p w14:paraId="35190866">
      <w:pPr>
        <w:bidi w:val="0"/>
        <w:rPr>
          <w:color w:val="auto"/>
          <w:highlight w:val="none"/>
        </w:rPr>
      </w:pPr>
      <w:r>
        <w:rPr>
          <w:rFonts w:hint="eastAsia"/>
          <w:color w:val="auto"/>
          <w:highlight w:val="none"/>
        </w:rPr>
        <w:t>3</w:t>
      </w:r>
      <w:r>
        <w:rPr>
          <w:rFonts w:hint="eastAsia"/>
          <w:color w:val="auto"/>
          <w:highlight w:val="none"/>
          <w:lang w:val="en-US" w:eastAsia="zh-CN"/>
        </w:rPr>
        <w:t>1</w:t>
      </w:r>
      <w:r>
        <w:rPr>
          <w:rFonts w:hint="eastAsia"/>
          <w:color w:val="auto"/>
          <w:highlight w:val="none"/>
        </w:rPr>
        <w:t>.2 磋商文件、成交供应商的响应文件及磋商过程中有关澄清文件均为签订合同的依据。</w:t>
      </w:r>
    </w:p>
    <w:p w14:paraId="101D8186">
      <w:pPr>
        <w:bidi w:val="0"/>
        <w:rPr>
          <w:color w:val="auto"/>
          <w:highlight w:val="none"/>
        </w:rPr>
      </w:pPr>
      <w:r>
        <w:rPr>
          <w:rFonts w:hint="eastAsia"/>
          <w:color w:val="auto"/>
          <w:highlight w:val="none"/>
        </w:rPr>
        <w:t>3</w:t>
      </w:r>
      <w:r>
        <w:rPr>
          <w:rFonts w:hint="eastAsia"/>
          <w:color w:val="auto"/>
          <w:highlight w:val="none"/>
          <w:lang w:val="en-US" w:eastAsia="zh-CN"/>
        </w:rPr>
        <w:t>1</w:t>
      </w:r>
      <w:r>
        <w:rPr>
          <w:rFonts w:hint="eastAsia"/>
          <w:color w:val="auto"/>
          <w:highlight w:val="none"/>
        </w:rPr>
        <w:t>.3合同履行中，采购人需追加与合同标的相同的服务的，在不改变合同其他条款的前提下，可以与供应商协商签订补充合同，但所有补充合同的采购金额不得超过原合同采购金额的百分之十。</w:t>
      </w:r>
    </w:p>
    <w:p w14:paraId="7DC21AED">
      <w:pPr>
        <w:bidi w:val="0"/>
        <w:rPr>
          <w:rFonts w:hint="eastAsia"/>
          <w:color w:val="auto"/>
          <w:highlight w:val="none"/>
        </w:rPr>
      </w:pPr>
      <w:r>
        <w:rPr>
          <w:rFonts w:hint="eastAsia"/>
          <w:color w:val="auto"/>
          <w:highlight w:val="none"/>
        </w:rPr>
        <w:t>3</w:t>
      </w:r>
      <w:r>
        <w:rPr>
          <w:rFonts w:hint="eastAsia"/>
          <w:color w:val="auto"/>
          <w:highlight w:val="none"/>
          <w:lang w:val="en-US" w:eastAsia="zh-CN"/>
        </w:rPr>
        <w:t>1</w:t>
      </w:r>
      <w:r>
        <w:rPr>
          <w:rFonts w:hint="eastAsia"/>
          <w:color w:val="auto"/>
          <w:highlight w:val="none"/>
        </w:rPr>
        <w:t>.4成交供应商拒绝签订采购合同的，采购人可以按本须知“第2</w:t>
      </w:r>
      <w:r>
        <w:rPr>
          <w:rFonts w:hint="eastAsia"/>
          <w:color w:val="auto"/>
          <w:highlight w:val="none"/>
          <w:lang w:val="en-US" w:eastAsia="zh-CN"/>
        </w:rPr>
        <w:t>7</w:t>
      </w:r>
      <w:r>
        <w:rPr>
          <w:rFonts w:hint="eastAsia"/>
          <w:color w:val="auto"/>
          <w:highlight w:val="none"/>
        </w:rPr>
        <w:t>条</w:t>
      </w:r>
      <w:r>
        <w:rPr>
          <w:rFonts w:hint="eastAsia"/>
          <w:color w:val="auto"/>
          <w:highlight w:val="none"/>
          <w:lang w:val="en-US" w:eastAsia="zh-CN"/>
        </w:rPr>
        <w:t>第（2）款</w:t>
      </w:r>
      <w:r>
        <w:rPr>
          <w:rFonts w:hint="eastAsia"/>
          <w:color w:val="auto"/>
          <w:highlight w:val="none"/>
        </w:rPr>
        <w:t>”规定的原则确定下一个候选人为成交供应商，也可以重新开展采购活动。拒绝签订采购合同的成交供应商不得参加该项目重新开展的采购活动，并不予退还其</w:t>
      </w:r>
      <w:r>
        <w:rPr>
          <w:rFonts w:hint="eastAsia"/>
          <w:color w:val="auto"/>
          <w:highlight w:val="none"/>
          <w:lang w:eastAsia="zh-CN"/>
        </w:rPr>
        <w:t>缴纳</w:t>
      </w:r>
      <w:r>
        <w:rPr>
          <w:rFonts w:hint="eastAsia"/>
          <w:color w:val="auto"/>
          <w:highlight w:val="none"/>
        </w:rPr>
        <w:t>的磋商保证金。</w:t>
      </w:r>
    </w:p>
    <w:p w14:paraId="70FC9A8C">
      <w:pPr>
        <w:pStyle w:val="3"/>
        <w:numPr>
          <w:ilvl w:val="0"/>
          <w:numId w:val="0"/>
        </w:numPr>
        <w:bidi w:val="0"/>
        <w:ind w:left="0" w:leftChars="0" w:firstLine="480" w:firstLineChars="200"/>
        <w:rPr>
          <w:highlight w:val="none"/>
        </w:rPr>
      </w:pPr>
      <w:bookmarkStart w:id="240" w:name="_Toc21064"/>
      <w:bookmarkStart w:id="241" w:name="_Toc27669"/>
      <w:bookmarkStart w:id="242" w:name="_Toc7966"/>
      <w:bookmarkStart w:id="243" w:name="_Toc498611426"/>
      <w:bookmarkStart w:id="244" w:name="_Toc30824"/>
      <w:bookmarkStart w:id="245" w:name="_Toc505020162"/>
      <w:bookmarkStart w:id="246" w:name="_Toc9769"/>
      <w:bookmarkStart w:id="247" w:name="_Toc4375"/>
      <w:bookmarkStart w:id="248" w:name="_Toc13458"/>
      <w:bookmarkStart w:id="249" w:name="_Toc7730"/>
      <w:bookmarkStart w:id="250" w:name="_Toc30163"/>
      <w:r>
        <w:rPr>
          <w:rFonts w:hint="eastAsia" w:ascii="仿宋_GB2312" w:hAnsi="仿宋_GB2312" w:eastAsia="仿宋_GB2312" w:cs="Times New Roman"/>
          <w:b/>
          <w:bCs/>
          <w:kern w:val="2"/>
          <w:sz w:val="24"/>
          <w:szCs w:val="32"/>
          <w:lang w:val="en-US" w:eastAsia="zh-CN" w:bidi="ar-SA"/>
        </w:rPr>
        <w:t>十、</w:t>
      </w:r>
      <w:r>
        <w:rPr>
          <w:rFonts w:hint="eastAsia"/>
          <w:highlight w:val="none"/>
        </w:rPr>
        <w:t>询问和质疑</w:t>
      </w:r>
      <w:bookmarkEnd w:id="240"/>
      <w:bookmarkEnd w:id="241"/>
      <w:bookmarkEnd w:id="242"/>
      <w:bookmarkEnd w:id="243"/>
      <w:bookmarkEnd w:id="244"/>
      <w:bookmarkEnd w:id="245"/>
      <w:bookmarkEnd w:id="246"/>
      <w:bookmarkEnd w:id="247"/>
      <w:bookmarkEnd w:id="248"/>
      <w:bookmarkEnd w:id="249"/>
      <w:bookmarkEnd w:id="250"/>
    </w:p>
    <w:p w14:paraId="292B8026">
      <w:pPr>
        <w:bidi w:val="0"/>
        <w:rPr>
          <w:b/>
          <w:bCs/>
          <w:color w:val="auto"/>
          <w:highlight w:val="none"/>
        </w:rPr>
      </w:pPr>
      <w:r>
        <w:rPr>
          <w:rFonts w:hint="eastAsia"/>
          <w:b/>
          <w:bCs/>
          <w:color w:val="auto"/>
          <w:highlight w:val="none"/>
        </w:rPr>
        <w:t>3</w:t>
      </w:r>
      <w:r>
        <w:rPr>
          <w:rFonts w:hint="eastAsia"/>
          <w:b/>
          <w:bCs/>
          <w:color w:val="auto"/>
          <w:highlight w:val="none"/>
          <w:lang w:val="en-US" w:eastAsia="zh-CN"/>
        </w:rPr>
        <w:t>2</w:t>
      </w:r>
      <w:r>
        <w:rPr>
          <w:rFonts w:hint="eastAsia"/>
          <w:b/>
          <w:bCs/>
          <w:color w:val="auto"/>
          <w:highlight w:val="none"/>
        </w:rPr>
        <w:t>.询问</w:t>
      </w:r>
    </w:p>
    <w:p w14:paraId="6EA28ED4">
      <w:pPr>
        <w:bidi w:val="0"/>
        <w:rPr>
          <w:color w:val="auto"/>
          <w:highlight w:val="none"/>
        </w:rPr>
      </w:pPr>
      <w:r>
        <w:rPr>
          <w:rFonts w:hint="eastAsia"/>
          <w:color w:val="auto"/>
          <w:highlight w:val="none"/>
        </w:rPr>
        <w:t>供应商对采购活动事项有疑问的，可以向采购人提出询问，</w:t>
      </w:r>
      <w:r>
        <w:rPr>
          <w:rFonts w:hint="eastAsia"/>
          <w:color w:val="auto"/>
          <w:highlight w:val="none"/>
          <w:lang w:val="en-US" w:eastAsia="zh-CN"/>
        </w:rPr>
        <w:t>采购人</w:t>
      </w:r>
      <w:r>
        <w:rPr>
          <w:rFonts w:hint="eastAsia"/>
          <w:color w:val="auto"/>
          <w:highlight w:val="none"/>
        </w:rPr>
        <w:t xml:space="preserve">应当在3个工作日内对供应商依法提出的询问作出答复。 </w:t>
      </w:r>
    </w:p>
    <w:p w14:paraId="3E111A96">
      <w:pPr>
        <w:bidi w:val="0"/>
        <w:rPr>
          <w:b/>
          <w:bCs/>
          <w:color w:val="auto"/>
          <w:highlight w:val="none"/>
        </w:rPr>
      </w:pPr>
      <w:r>
        <w:rPr>
          <w:rFonts w:hint="eastAsia"/>
          <w:b/>
          <w:bCs/>
          <w:color w:val="auto"/>
          <w:highlight w:val="none"/>
        </w:rPr>
        <w:t>3</w:t>
      </w:r>
      <w:r>
        <w:rPr>
          <w:rFonts w:hint="eastAsia"/>
          <w:b/>
          <w:bCs/>
          <w:color w:val="auto"/>
          <w:highlight w:val="none"/>
          <w:lang w:val="en-US" w:eastAsia="zh-CN"/>
        </w:rPr>
        <w:t>3</w:t>
      </w:r>
      <w:r>
        <w:rPr>
          <w:rFonts w:hint="eastAsia"/>
          <w:b/>
          <w:bCs/>
          <w:color w:val="auto"/>
          <w:highlight w:val="none"/>
        </w:rPr>
        <w:t>.质疑</w:t>
      </w:r>
    </w:p>
    <w:p w14:paraId="561D4A12">
      <w:pPr>
        <w:bidi w:val="0"/>
        <w:rPr>
          <w:color w:val="auto"/>
          <w:highlight w:val="none"/>
        </w:rPr>
      </w:pPr>
      <w:r>
        <w:rPr>
          <w:rFonts w:hint="eastAsia"/>
          <w:color w:val="auto"/>
          <w:highlight w:val="none"/>
        </w:rPr>
        <w:t>3</w:t>
      </w:r>
      <w:r>
        <w:rPr>
          <w:rFonts w:hint="eastAsia"/>
          <w:color w:val="auto"/>
          <w:highlight w:val="none"/>
          <w:lang w:val="en-US" w:eastAsia="zh-CN"/>
        </w:rPr>
        <w:t>3</w:t>
      </w:r>
      <w:r>
        <w:rPr>
          <w:rFonts w:hint="eastAsia"/>
          <w:color w:val="auto"/>
          <w:highlight w:val="none"/>
        </w:rPr>
        <w:t>.1 供应商认为磋商文件、磋商过程、成交结果使自己的权益受到损害的，可以在知道或者应知其权益受到损害之日起7个工作日内，以书面形式向采购人提出质疑。</w:t>
      </w:r>
    </w:p>
    <w:p w14:paraId="58ECF10C">
      <w:pPr>
        <w:bidi w:val="0"/>
        <w:rPr>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对可以质疑的磋商文件提出质疑的，为收到磋商文件之日或者磋商文件公告期限届满之日起7个工作日内；</w:t>
      </w:r>
    </w:p>
    <w:p w14:paraId="3DE6BD82">
      <w:pPr>
        <w:bidi w:val="0"/>
        <w:rPr>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对磋商过程提出质疑的，为各磋商程序环节结束之日起7个工作日内；</w:t>
      </w:r>
    </w:p>
    <w:p w14:paraId="7636E1B3">
      <w:pPr>
        <w:bidi w:val="0"/>
        <w:rPr>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对成交结果提出质疑的，为成交结果公告期限届满之日起7个工作日内。</w:t>
      </w:r>
    </w:p>
    <w:p w14:paraId="1C4EBBE6">
      <w:pPr>
        <w:bidi w:val="0"/>
        <w:rPr>
          <w:color w:val="auto"/>
          <w:highlight w:val="none"/>
        </w:rPr>
      </w:pPr>
      <w:r>
        <w:rPr>
          <w:rFonts w:hint="eastAsia"/>
          <w:color w:val="auto"/>
          <w:highlight w:val="none"/>
        </w:rPr>
        <w:t>3</w:t>
      </w:r>
      <w:r>
        <w:rPr>
          <w:rFonts w:hint="eastAsia"/>
          <w:color w:val="auto"/>
          <w:highlight w:val="none"/>
          <w:lang w:val="en-US" w:eastAsia="zh-CN"/>
        </w:rPr>
        <w:t>3</w:t>
      </w:r>
      <w:r>
        <w:rPr>
          <w:rFonts w:hint="eastAsia"/>
          <w:color w:val="auto"/>
          <w:highlight w:val="none"/>
        </w:rPr>
        <w:t>.2 供应商应在法定质疑期内一次性提出针对同一采购程序环节的质疑。</w:t>
      </w:r>
    </w:p>
    <w:p w14:paraId="1E4A3800">
      <w:pPr>
        <w:bidi w:val="0"/>
        <w:rPr>
          <w:color w:val="auto"/>
          <w:highlight w:val="none"/>
        </w:rPr>
      </w:pPr>
      <w:r>
        <w:rPr>
          <w:rFonts w:hint="eastAsia"/>
          <w:color w:val="auto"/>
          <w:highlight w:val="none"/>
        </w:rPr>
        <w:t>3</w:t>
      </w:r>
      <w:r>
        <w:rPr>
          <w:rFonts w:hint="eastAsia"/>
          <w:color w:val="auto"/>
          <w:highlight w:val="none"/>
          <w:lang w:val="en-US" w:eastAsia="zh-CN"/>
        </w:rPr>
        <w:t>3</w:t>
      </w:r>
      <w:r>
        <w:rPr>
          <w:rFonts w:hint="eastAsia"/>
          <w:color w:val="auto"/>
          <w:highlight w:val="none"/>
        </w:rPr>
        <w:t>.3 提出质疑的供应商应当是参与所质疑项目采购活动的供应商。</w:t>
      </w:r>
    </w:p>
    <w:p w14:paraId="6D69C625">
      <w:pPr>
        <w:bidi w:val="0"/>
        <w:rPr>
          <w:color w:val="auto"/>
          <w:highlight w:val="none"/>
        </w:rPr>
      </w:pPr>
      <w:r>
        <w:rPr>
          <w:rFonts w:hint="eastAsia"/>
          <w:color w:val="auto"/>
          <w:highlight w:val="none"/>
        </w:rPr>
        <w:t>3</w:t>
      </w:r>
      <w:r>
        <w:rPr>
          <w:rFonts w:hint="eastAsia"/>
          <w:color w:val="auto"/>
          <w:highlight w:val="none"/>
          <w:lang w:val="en-US" w:eastAsia="zh-CN"/>
        </w:rPr>
        <w:t>3</w:t>
      </w:r>
      <w:r>
        <w:rPr>
          <w:rFonts w:hint="eastAsia"/>
          <w:color w:val="auto"/>
          <w:highlight w:val="none"/>
        </w:rPr>
        <w:t>.4潜在供应商已依法获取其可质疑的磋商文件的，可以对该文件提出质疑。</w:t>
      </w:r>
    </w:p>
    <w:p w14:paraId="10B8D77C">
      <w:pPr>
        <w:bidi w:val="0"/>
        <w:rPr>
          <w:rFonts w:hint="default" w:eastAsia="仿宋"/>
          <w:color w:val="auto"/>
          <w:highlight w:val="none"/>
          <w:lang w:val="en-US" w:eastAsia="zh-CN"/>
        </w:rPr>
      </w:pPr>
      <w:r>
        <w:rPr>
          <w:rFonts w:hint="eastAsia"/>
          <w:color w:val="auto"/>
          <w:highlight w:val="none"/>
        </w:rPr>
        <w:t>3</w:t>
      </w:r>
      <w:r>
        <w:rPr>
          <w:rFonts w:hint="eastAsia"/>
          <w:color w:val="auto"/>
          <w:highlight w:val="none"/>
          <w:lang w:val="en-US" w:eastAsia="zh-CN"/>
        </w:rPr>
        <w:t>3</w:t>
      </w:r>
      <w:r>
        <w:rPr>
          <w:rFonts w:hint="eastAsia"/>
          <w:color w:val="auto"/>
          <w:highlight w:val="none"/>
        </w:rPr>
        <w:t>.5供应商提出质疑应当提交质疑函和必要的证明材料。质疑函应当包括下列内容（格式参照中国政府采购网 </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29"/>
          <w:rFonts w:hint="eastAsia" w:ascii="仿宋" w:hAnsi="仿宋" w:eastAsia="仿宋" w:cs="仿宋"/>
          <w:bCs/>
          <w:color w:val="auto"/>
          <w:szCs w:val="24"/>
          <w:highlight w:val="none"/>
        </w:rPr>
        <w:t>http://www.ccgp.gov.cn/</w:t>
      </w:r>
      <w:r>
        <w:rPr>
          <w:rStyle w:val="30"/>
          <w:rFonts w:hint="eastAsia" w:ascii="仿宋" w:hAnsi="仿宋" w:eastAsia="仿宋" w:cs="仿宋"/>
          <w:bCs/>
          <w:color w:val="auto"/>
          <w:szCs w:val="24"/>
          <w:highlight w:val="none"/>
        </w:rPr>
        <w:fldChar w:fldCharType="end"/>
      </w:r>
      <w:r>
        <w:rPr>
          <w:rFonts w:hint="eastAsia"/>
          <w:color w:val="auto"/>
          <w:highlight w:val="none"/>
        </w:rPr>
        <w:t>下载专区的《政府采购供应商质疑函范本》）。</w:t>
      </w:r>
      <w:r>
        <w:rPr>
          <w:rFonts w:hint="eastAsia"/>
          <w:color w:val="auto"/>
          <w:highlight w:val="none"/>
          <w:lang w:val="en-US" w:eastAsia="zh-CN"/>
        </w:rPr>
        <w:t>质疑内容如下：</w:t>
      </w:r>
    </w:p>
    <w:p w14:paraId="78F8AD13">
      <w:pPr>
        <w:bidi w:val="0"/>
        <w:rPr>
          <w:color w:val="auto"/>
          <w:highlight w:val="none"/>
        </w:rPr>
      </w:pPr>
      <w:r>
        <w:rPr>
          <w:rFonts w:hint="eastAsia"/>
          <w:color w:val="auto"/>
          <w:highlight w:val="none"/>
        </w:rPr>
        <w:t>（一）供应商的姓名或者名称、地址、邮编、联系人及联系电话；</w:t>
      </w:r>
    </w:p>
    <w:p w14:paraId="25693353">
      <w:pPr>
        <w:bidi w:val="0"/>
        <w:rPr>
          <w:color w:val="auto"/>
          <w:highlight w:val="none"/>
        </w:rPr>
      </w:pPr>
      <w:r>
        <w:rPr>
          <w:rFonts w:hint="eastAsia"/>
          <w:color w:val="auto"/>
          <w:highlight w:val="none"/>
        </w:rPr>
        <w:t>（二）质疑项目的名称、编号；</w:t>
      </w:r>
    </w:p>
    <w:p w14:paraId="13CAD7C9">
      <w:pPr>
        <w:bidi w:val="0"/>
        <w:rPr>
          <w:color w:val="auto"/>
          <w:highlight w:val="none"/>
        </w:rPr>
      </w:pPr>
      <w:r>
        <w:rPr>
          <w:rFonts w:hint="eastAsia"/>
          <w:color w:val="auto"/>
          <w:highlight w:val="none"/>
        </w:rPr>
        <w:t>（三）具体、明确的质疑事项和与质疑事项相关的请求；</w:t>
      </w:r>
    </w:p>
    <w:p w14:paraId="72F6E37D">
      <w:pPr>
        <w:bidi w:val="0"/>
        <w:rPr>
          <w:color w:val="auto"/>
          <w:highlight w:val="none"/>
        </w:rPr>
      </w:pPr>
      <w:r>
        <w:rPr>
          <w:rFonts w:hint="eastAsia"/>
          <w:color w:val="auto"/>
          <w:highlight w:val="none"/>
        </w:rPr>
        <w:t>（四）事实依据；</w:t>
      </w:r>
    </w:p>
    <w:p w14:paraId="2013E655">
      <w:pPr>
        <w:bidi w:val="0"/>
        <w:rPr>
          <w:color w:val="auto"/>
          <w:highlight w:val="none"/>
        </w:rPr>
      </w:pPr>
      <w:r>
        <w:rPr>
          <w:rFonts w:hint="eastAsia"/>
          <w:color w:val="auto"/>
          <w:highlight w:val="none"/>
        </w:rPr>
        <w:t>（五）必要的法律依据；</w:t>
      </w:r>
    </w:p>
    <w:p w14:paraId="6ABF881C">
      <w:pPr>
        <w:bidi w:val="0"/>
        <w:rPr>
          <w:rFonts w:ascii="仿宋" w:hAnsi="仿宋" w:eastAsia="仿宋" w:cs="仿宋"/>
          <w:bCs/>
          <w:color w:val="auto"/>
          <w:szCs w:val="24"/>
          <w:highlight w:val="none"/>
        </w:rPr>
      </w:pPr>
      <w:r>
        <w:rPr>
          <w:rFonts w:hint="eastAsia"/>
          <w:color w:val="auto"/>
          <w:highlight w:val="none"/>
        </w:rPr>
        <w:t>（六）提出质疑的日期。</w:t>
      </w:r>
    </w:p>
    <w:p w14:paraId="1B33B1FE">
      <w:pPr>
        <w:bidi w:val="0"/>
        <w:rPr>
          <w:color w:val="auto"/>
          <w:highlight w:val="none"/>
        </w:rPr>
      </w:pPr>
      <w:r>
        <w:rPr>
          <w:rFonts w:hint="eastAsia"/>
          <w:color w:val="auto"/>
          <w:highlight w:val="none"/>
        </w:rPr>
        <w:t>供应商为自然人的，应当由本人签字；供应商为法人或者其他组织的，应当由法定代表人、主要负责人，或者其授权代表签字或者盖章，并加盖公章。</w:t>
      </w:r>
    </w:p>
    <w:p w14:paraId="4CA32C8C">
      <w:pPr>
        <w:bidi w:val="0"/>
        <w:rPr>
          <w:color w:val="auto"/>
          <w:highlight w:val="none"/>
        </w:rPr>
      </w:pPr>
      <w:r>
        <w:rPr>
          <w:rFonts w:hint="eastAsia"/>
          <w:color w:val="auto"/>
          <w:highlight w:val="none"/>
        </w:rPr>
        <w:t>对不在</w:t>
      </w:r>
      <w:r>
        <w:rPr>
          <w:rFonts w:hint="eastAsia"/>
          <w:color w:val="auto"/>
          <w:highlight w:val="none"/>
          <w:lang w:val="en-US" w:eastAsia="zh-CN"/>
        </w:rPr>
        <w:t>采购代理机构或采购人现场获取</w:t>
      </w:r>
      <w:r>
        <w:rPr>
          <w:rFonts w:hint="eastAsia"/>
          <w:color w:val="auto"/>
          <w:highlight w:val="none"/>
        </w:rPr>
        <w:t>的磋商文件质疑的，须同时提供下载磋商文件的凭证。</w:t>
      </w:r>
    </w:p>
    <w:p w14:paraId="6B515D07">
      <w:pPr>
        <w:bidi w:val="0"/>
        <w:rPr>
          <w:color w:val="auto"/>
          <w:highlight w:val="none"/>
        </w:rPr>
      </w:pPr>
      <w:r>
        <w:rPr>
          <w:rFonts w:hint="eastAsia"/>
          <w:color w:val="auto"/>
          <w:highlight w:val="none"/>
        </w:rPr>
        <w:t>3</w:t>
      </w:r>
      <w:r>
        <w:rPr>
          <w:rFonts w:hint="eastAsia"/>
          <w:color w:val="auto"/>
          <w:highlight w:val="none"/>
          <w:lang w:val="en-US" w:eastAsia="zh-CN"/>
        </w:rPr>
        <w:t>3</w:t>
      </w:r>
      <w:r>
        <w:rPr>
          <w:rFonts w:hint="eastAsia"/>
          <w:color w:val="auto"/>
          <w:highlight w:val="none"/>
        </w:rPr>
        <w:t>.6质疑函接收方式</w:t>
      </w:r>
    </w:p>
    <w:p w14:paraId="5735DA11">
      <w:pPr>
        <w:bidi w:val="0"/>
        <w:rPr>
          <w:rFonts w:hint="default" w:cs="仿宋_GB2312"/>
          <w:b w:val="0"/>
          <w:bCs w:val="0"/>
          <w:color w:val="auto"/>
          <w:sz w:val="24"/>
          <w:szCs w:val="24"/>
          <w:highlight w:val="none"/>
          <w:u w:val="single"/>
          <w:lang w:val="en-US" w:eastAsia="zh-CN"/>
        </w:rPr>
      </w:pPr>
      <w:r>
        <w:rPr>
          <w:rFonts w:hint="eastAsia"/>
          <w:color w:val="auto"/>
          <w:highlight w:val="none"/>
        </w:rPr>
        <w:t>接收部门：</w:t>
      </w:r>
      <w:r>
        <w:rPr>
          <w:rFonts w:hint="eastAsia" w:cs="仿宋_GB2312"/>
          <w:b w:val="0"/>
          <w:bCs w:val="0"/>
          <w:color w:val="auto"/>
          <w:sz w:val="24"/>
          <w:szCs w:val="24"/>
          <w:highlight w:val="none"/>
          <w:u w:val="single"/>
          <w:lang w:val="en-US" w:eastAsia="zh-CN"/>
        </w:rPr>
        <w:t>江西萍乡建工集团有限公司</w:t>
      </w:r>
    </w:p>
    <w:p w14:paraId="0E86FDF1">
      <w:pPr>
        <w:bidi w:val="0"/>
        <w:rPr>
          <w:rFonts w:hint="default"/>
          <w:color w:val="auto"/>
          <w:highlight w:val="none"/>
          <w:lang w:val="en-US"/>
        </w:rPr>
      </w:pPr>
      <w:r>
        <w:rPr>
          <w:rFonts w:hint="eastAsia"/>
          <w:color w:val="auto"/>
          <w:highlight w:val="none"/>
        </w:rPr>
        <w:t>联系电话：</w:t>
      </w:r>
      <w:r>
        <w:rPr>
          <w:rFonts w:hint="eastAsia"/>
          <w:color w:val="auto"/>
          <w:highlight w:val="none"/>
          <w:u w:val="single"/>
          <w:lang w:val="en-US" w:eastAsia="zh-CN"/>
        </w:rPr>
        <w:t xml:space="preserve">0799-6667600 </w:t>
      </w:r>
    </w:p>
    <w:p w14:paraId="0FB77913">
      <w:pPr>
        <w:bidi w:val="0"/>
        <w:rPr>
          <w:rFonts w:hint="default" w:eastAsia="仿宋"/>
          <w:color w:val="auto"/>
          <w:highlight w:val="none"/>
          <w:lang w:val="en-US" w:eastAsia="zh-CN"/>
        </w:rPr>
      </w:pPr>
      <w:r>
        <w:rPr>
          <w:rFonts w:hint="eastAsia"/>
          <w:color w:val="auto"/>
          <w:highlight w:val="none"/>
        </w:rPr>
        <w:t>通讯地址：</w:t>
      </w:r>
      <w:r>
        <w:rPr>
          <w:rFonts w:hint="eastAsia" w:cs="Times New Roman"/>
          <w:color w:val="auto"/>
          <w:highlight w:val="none"/>
          <w:u w:val="single"/>
          <w:lang w:val="en-US" w:eastAsia="zh-CN"/>
        </w:rPr>
        <w:t>萍乡市经济技术开发区吴楚东大道10号萍乡建工集团</w:t>
      </w:r>
    </w:p>
    <w:bookmarkEnd w:id="238"/>
    <w:bookmarkEnd w:id="239"/>
    <w:p w14:paraId="37EE3D36">
      <w:pPr>
        <w:pStyle w:val="3"/>
        <w:numPr>
          <w:ilvl w:val="0"/>
          <w:numId w:val="0"/>
        </w:numPr>
        <w:bidi w:val="0"/>
        <w:ind w:left="0" w:leftChars="0" w:firstLine="480" w:firstLineChars="200"/>
        <w:rPr>
          <w:rFonts w:hint="eastAsia"/>
          <w:highlight w:val="none"/>
          <w:lang w:val="en-US" w:eastAsia="zh-CN"/>
        </w:rPr>
      </w:pPr>
      <w:bookmarkStart w:id="251" w:name="_Toc18619"/>
      <w:bookmarkStart w:id="252" w:name="_Toc23037"/>
      <w:bookmarkStart w:id="253" w:name="_Toc21612"/>
      <w:bookmarkStart w:id="254" w:name="_Toc21090"/>
      <w:bookmarkStart w:id="255" w:name="_Toc16665"/>
      <w:bookmarkStart w:id="256" w:name="_Toc32125"/>
      <w:bookmarkStart w:id="257" w:name="_Toc14044"/>
      <w:bookmarkStart w:id="258" w:name="_Toc10114"/>
      <w:bookmarkStart w:id="259" w:name="_Toc21404"/>
      <w:bookmarkStart w:id="260" w:name="_Toc376848257"/>
      <w:bookmarkStart w:id="261" w:name="_Toc505020164"/>
      <w:bookmarkStart w:id="262" w:name="_Toc245611283"/>
      <w:r>
        <w:rPr>
          <w:rFonts w:hint="eastAsia" w:ascii="仿宋_GB2312" w:hAnsi="仿宋_GB2312" w:eastAsia="仿宋_GB2312" w:cs="Times New Roman"/>
          <w:b/>
          <w:bCs/>
          <w:kern w:val="2"/>
          <w:sz w:val="24"/>
          <w:szCs w:val="32"/>
          <w:lang w:val="en-US" w:eastAsia="zh-CN" w:bidi="ar-SA"/>
        </w:rPr>
        <w:t>十一、</w:t>
      </w:r>
      <w:r>
        <w:rPr>
          <w:rFonts w:hint="eastAsia"/>
          <w:highlight w:val="none"/>
          <w:lang w:val="en-US" w:eastAsia="zh-CN"/>
        </w:rPr>
        <w:t>其他规定</w:t>
      </w:r>
      <w:bookmarkEnd w:id="251"/>
      <w:bookmarkEnd w:id="252"/>
      <w:bookmarkEnd w:id="253"/>
      <w:bookmarkEnd w:id="254"/>
      <w:bookmarkEnd w:id="255"/>
      <w:bookmarkEnd w:id="256"/>
      <w:bookmarkEnd w:id="257"/>
      <w:bookmarkEnd w:id="258"/>
      <w:bookmarkEnd w:id="259"/>
    </w:p>
    <w:p w14:paraId="3E065944">
      <w:pPr>
        <w:ind w:firstLine="640"/>
        <w:rPr>
          <w:rFonts w:hint="default"/>
          <w:color w:val="auto"/>
          <w:highlight w:val="none"/>
          <w:lang w:val="en-US" w:eastAsia="zh-CN"/>
        </w:rPr>
      </w:pPr>
      <w:r>
        <w:rPr>
          <w:rFonts w:hint="eastAsia"/>
          <w:color w:val="auto"/>
          <w:highlight w:val="none"/>
          <w:lang w:val="en-US" w:eastAsia="zh-CN"/>
        </w:rPr>
        <w:t>34.</w:t>
      </w:r>
      <w:r>
        <w:rPr>
          <w:rFonts w:hint="default"/>
          <w:color w:val="auto"/>
          <w:highlight w:val="none"/>
          <w:lang w:val="en-US" w:eastAsia="zh-CN"/>
        </w:rPr>
        <w:t>第1中标候选人为中标公示单位，</w:t>
      </w:r>
      <w:r>
        <w:rPr>
          <w:rFonts w:hint="eastAsia"/>
          <w:color w:val="auto"/>
          <w:highlight w:val="none"/>
          <w:lang w:val="en-US" w:eastAsia="zh-CN"/>
        </w:rPr>
        <w:t>若</w:t>
      </w:r>
      <w:r>
        <w:rPr>
          <w:rFonts w:hint="default"/>
          <w:color w:val="auto"/>
          <w:highlight w:val="none"/>
          <w:lang w:val="en-US" w:eastAsia="zh-CN"/>
        </w:rPr>
        <w:t>第1中标候</w:t>
      </w:r>
      <w:r>
        <w:rPr>
          <w:rFonts w:hint="eastAsia"/>
          <w:color w:val="auto"/>
          <w:highlight w:val="none"/>
          <w:lang w:val="en-US" w:eastAsia="zh-CN"/>
        </w:rPr>
        <w:t>选人</w:t>
      </w:r>
      <w:r>
        <w:rPr>
          <w:rFonts w:hint="default"/>
          <w:color w:val="auto"/>
          <w:highlight w:val="none"/>
          <w:lang w:val="en-US" w:eastAsia="zh-CN"/>
        </w:rPr>
        <w:t>放弃中标</w:t>
      </w:r>
      <w:r>
        <w:rPr>
          <w:rFonts w:hint="eastAsia"/>
          <w:color w:val="auto"/>
          <w:highlight w:val="none"/>
          <w:lang w:val="en-US" w:eastAsia="zh-CN"/>
        </w:rPr>
        <w:t>资格、因不可抗力不能履行合同、不按照磋商文件要求提交履约保证金或者被查实存在影响中标结果的违法行为等情形，不符合中标条件的，</w:t>
      </w:r>
      <w:r>
        <w:rPr>
          <w:rFonts w:hint="default"/>
          <w:color w:val="auto"/>
          <w:highlight w:val="none"/>
          <w:lang w:val="en-US" w:eastAsia="zh-CN"/>
        </w:rPr>
        <w:t>可由第2中标候选人替补中标</w:t>
      </w:r>
      <w:r>
        <w:rPr>
          <w:rFonts w:hint="eastAsia"/>
          <w:color w:val="auto"/>
          <w:highlight w:val="none"/>
          <w:lang w:val="en-US" w:eastAsia="zh-CN"/>
        </w:rPr>
        <w:t>，以此类推</w:t>
      </w:r>
      <w:r>
        <w:rPr>
          <w:rFonts w:hint="default"/>
          <w:color w:val="auto"/>
          <w:highlight w:val="none"/>
          <w:lang w:val="en-US" w:eastAsia="zh-CN"/>
        </w:rPr>
        <w:t>，也可根据</w:t>
      </w:r>
      <w:r>
        <w:rPr>
          <w:rFonts w:hint="eastAsia"/>
          <w:color w:val="auto"/>
          <w:highlight w:val="none"/>
          <w:lang w:val="en-US" w:eastAsia="zh-CN"/>
        </w:rPr>
        <w:t>采购人</w:t>
      </w:r>
      <w:r>
        <w:rPr>
          <w:rFonts w:hint="default"/>
          <w:color w:val="auto"/>
          <w:highlight w:val="none"/>
          <w:lang w:val="en-US" w:eastAsia="zh-CN"/>
        </w:rPr>
        <w:t>需求重新招标。</w:t>
      </w:r>
    </w:p>
    <w:p w14:paraId="547B3A13">
      <w:pPr>
        <w:ind w:firstLine="640"/>
        <w:rPr>
          <w:rFonts w:hint="default"/>
          <w:highlight w:val="none"/>
          <w:lang w:val="en-US" w:eastAsia="zh-CN"/>
        </w:rPr>
      </w:pPr>
      <w:r>
        <w:rPr>
          <w:rFonts w:hint="eastAsia"/>
          <w:highlight w:val="none"/>
          <w:lang w:val="en-US" w:eastAsia="zh-CN"/>
        </w:rPr>
        <w:t>35.</w:t>
      </w:r>
      <w:r>
        <w:rPr>
          <w:rFonts w:hint="default"/>
          <w:highlight w:val="none"/>
          <w:lang w:val="en-US" w:eastAsia="zh-CN"/>
        </w:rPr>
        <w:t>如经核实</w:t>
      </w:r>
      <w:r>
        <w:rPr>
          <w:rFonts w:hint="eastAsia"/>
          <w:highlight w:val="none"/>
          <w:lang w:val="en-US" w:eastAsia="zh-CN"/>
        </w:rPr>
        <w:t>成交供应商</w:t>
      </w:r>
      <w:r>
        <w:rPr>
          <w:rFonts w:hint="eastAsia" w:ascii="仿宋_GB2312" w:hAnsi="仿宋_GB2312" w:cs="仿宋_GB2312"/>
          <w:highlight w:val="none"/>
          <w:lang w:val="en-US" w:eastAsia="zh-CN"/>
        </w:rPr>
        <w:t>存在</w:t>
      </w:r>
      <w:r>
        <w:rPr>
          <w:rFonts w:hint="eastAsia" w:ascii="仿宋_GB2312" w:hAnsi="仿宋_GB2312" w:eastAsia="仿宋_GB2312" w:cs="仿宋_GB2312"/>
          <w:highlight w:val="none"/>
          <w:lang w:val="en-US" w:eastAsia="zh-CN"/>
        </w:rPr>
        <w:t>围标、串标或以不正当手段中标的</w:t>
      </w:r>
      <w:r>
        <w:rPr>
          <w:rFonts w:hint="default"/>
          <w:highlight w:val="none"/>
          <w:lang w:val="en-US" w:eastAsia="zh-CN"/>
        </w:rPr>
        <w:t>，</w:t>
      </w:r>
      <w:r>
        <w:rPr>
          <w:rFonts w:hint="eastAsia" w:ascii="仿宋_GB2312" w:hAnsi="仿宋_GB2312" w:eastAsia="仿宋_GB2312" w:cs="仿宋_GB2312"/>
          <w:highlight w:val="none"/>
          <w:lang w:val="en-US" w:eastAsia="zh-CN"/>
        </w:rPr>
        <w:t>向</w:t>
      </w:r>
      <w:r>
        <w:rPr>
          <w:rFonts w:hint="eastAsia" w:cs="仿宋_GB2312"/>
          <w:highlight w:val="none"/>
          <w:lang w:val="en-US" w:eastAsia="zh-CN"/>
        </w:rPr>
        <w:t>采购人</w:t>
      </w:r>
      <w:r>
        <w:rPr>
          <w:rFonts w:hint="eastAsia" w:ascii="仿宋_GB2312" w:hAnsi="仿宋_GB2312" w:eastAsia="仿宋_GB2312" w:cs="仿宋_GB2312"/>
          <w:highlight w:val="none"/>
          <w:lang w:val="en-US" w:eastAsia="zh-CN"/>
        </w:rPr>
        <w:t>或者评标委员会成员行贿谋取中标的</w:t>
      </w:r>
      <w:r>
        <w:rPr>
          <w:rFonts w:hint="eastAsia" w:ascii="仿宋_GB2312" w:hAnsi="仿宋_GB2312" w:cs="仿宋_GB2312"/>
          <w:highlight w:val="none"/>
          <w:lang w:val="en-US" w:eastAsia="zh-CN"/>
        </w:rPr>
        <w:t>，</w:t>
      </w:r>
      <w:r>
        <w:rPr>
          <w:rFonts w:hint="eastAsia" w:ascii="仿宋_GB2312" w:hAnsi="仿宋_GB2312" w:eastAsia="仿宋_GB2312" w:cs="仿宋_GB2312"/>
          <w:highlight w:val="none"/>
          <w:lang w:val="en-US" w:eastAsia="zh-CN"/>
        </w:rPr>
        <w:t>以他人名义投标</w:t>
      </w:r>
      <w:r>
        <w:rPr>
          <w:rFonts w:hint="eastAsia" w:ascii="仿宋_GB2312" w:hAnsi="仿宋_GB2312" w:cs="仿宋_GB2312"/>
          <w:highlight w:val="none"/>
          <w:lang w:val="en-US" w:eastAsia="zh-CN"/>
        </w:rPr>
        <w:t>或</w:t>
      </w:r>
      <w:r>
        <w:rPr>
          <w:rFonts w:hint="eastAsia" w:ascii="仿宋_GB2312" w:hAnsi="仿宋_GB2312" w:eastAsia="仿宋_GB2312" w:cs="仿宋_GB2312"/>
          <w:highlight w:val="none"/>
          <w:lang w:val="en-US" w:eastAsia="zh-CN"/>
        </w:rPr>
        <w:t>其他方式弄虚作假骗取中标的</w:t>
      </w:r>
      <w:r>
        <w:rPr>
          <w:rFonts w:hint="eastAsia" w:ascii="仿宋_GB2312" w:hAnsi="仿宋_GB2312" w:cs="仿宋_GB2312"/>
          <w:highlight w:val="none"/>
          <w:lang w:val="en-US" w:eastAsia="zh-CN"/>
        </w:rPr>
        <w:t>，</w:t>
      </w:r>
      <w:r>
        <w:rPr>
          <w:rFonts w:hint="eastAsia"/>
          <w:highlight w:val="none"/>
          <w:lang w:val="en-US" w:eastAsia="zh-CN"/>
        </w:rPr>
        <w:t>采购人</w:t>
      </w:r>
      <w:r>
        <w:rPr>
          <w:rFonts w:hint="default"/>
          <w:highlight w:val="none"/>
          <w:lang w:val="en-US" w:eastAsia="zh-CN"/>
        </w:rPr>
        <w:t>取消中标资格，可由第2中标候选人替补中标</w:t>
      </w:r>
      <w:r>
        <w:rPr>
          <w:rFonts w:hint="eastAsia"/>
          <w:highlight w:val="none"/>
          <w:lang w:val="en-US" w:eastAsia="zh-CN"/>
        </w:rPr>
        <w:t>，以此类推</w:t>
      </w:r>
      <w:r>
        <w:rPr>
          <w:rFonts w:hint="default"/>
          <w:highlight w:val="none"/>
          <w:lang w:val="en-US" w:eastAsia="zh-CN"/>
        </w:rPr>
        <w:t>，也可根据</w:t>
      </w:r>
      <w:r>
        <w:rPr>
          <w:rFonts w:hint="eastAsia"/>
          <w:highlight w:val="none"/>
          <w:lang w:val="en-US" w:eastAsia="zh-CN"/>
        </w:rPr>
        <w:t>采购人</w:t>
      </w:r>
      <w:r>
        <w:rPr>
          <w:rFonts w:hint="default"/>
          <w:highlight w:val="none"/>
          <w:lang w:val="en-US" w:eastAsia="zh-CN"/>
        </w:rPr>
        <w:t>需求重新招标。</w:t>
      </w:r>
    </w:p>
    <w:p w14:paraId="06A9D432">
      <w:pPr>
        <w:pStyle w:val="3"/>
        <w:numPr>
          <w:ilvl w:val="0"/>
          <w:numId w:val="0"/>
        </w:numPr>
        <w:bidi w:val="0"/>
        <w:ind w:left="0" w:leftChars="0" w:firstLine="480" w:firstLineChars="200"/>
        <w:rPr>
          <w:highlight w:val="none"/>
        </w:rPr>
      </w:pPr>
      <w:bookmarkStart w:id="263" w:name="_Toc417"/>
      <w:bookmarkStart w:id="264" w:name="_Toc13506"/>
      <w:bookmarkStart w:id="265" w:name="_Toc7446"/>
      <w:bookmarkStart w:id="266" w:name="_Toc28907"/>
      <w:bookmarkStart w:id="267" w:name="_Toc12293"/>
      <w:bookmarkStart w:id="268" w:name="_Toc17528"/>
      <w:bookmarkStart w:id="269" w:name="_Toc15226"/>
      <w:bookmarkStart w:id="270" w:name="_Toc2900"/>
      <w:bookmarkStart w:id="271" w:name="_Toc31900"/>
      <w:r>
        <w:rPr>
          <w:rFonts w:hint="eastAsia" w:ascii="仿宋_GB2312" w:hAnsi="仿宋_GB2312" w:eastAsia="仿宋_GB2312" w:cs="Times New Roman"/>
          <w:b/>
          <w:bCs/>
          <w:kern w:val="2"/>
          <w:sz w:val="24"/>
          <w:szCs w:val="32"/>
          <w:lang w:val="en-US" w:eastAsia="zh-CN" w:bidi="ar-SA"/>
        </w:rPr>
        <w:t>十二、</w:t>
      </w:r>
      <w:r>
        <w:rPr>
          <w:rFonts w:hint="eastAsia"/>
          <w:highlight w:val="none"/>
        </w:rPr>
        <w:t>附则</w:t>
      </w:r>
      <w:bookmarkEnd w:id="260"/>
      <w:bookmarkEnd w:id="261"/>
      <w:bookmarkEnd w:id="263"/>
      <w:bookmarkEnd w:id="264"/>
      <w:bookmarkEnd w:id="265"/>
      <w:bookmarkEnd w:id="266"/>
      <w:bookmarkEnd w:id="267"/>
      <w:bookmarkEnd w:id="268"/>
      <w:bookmarkEnd w:id="269"/>
      <w:bookmarkEnd w:id="270"/>
      <w:bookmarkEnd w:id="271"/>
    </w:p>
    <w:p w14:paraId="0191C908">
      <w:pPr>
        <w:bidi w:val="0"/>
        <w:rPr>
          <w:b/>
          <w:bCs/>
          <w:color w:val="auto"/>
          <w:highlight w:val="none"/>
        </w:rPr>
      </w:pPr>
      <w:r>
        <w:rPr>
          <w:rFonts w:hint="eastAsia"/>
          <w:b/>
          <w:bCs/>
          <w:color w:val="auto"/>
          <w:highlight w:val="none"/>
        </w:rPr>
        <w:t>3</w:t>
      </w:r>
      <w:r>
        <w:rPr>
          <w:rFonts w:hint="eastAsia"/>
          <w:b/>
          <w:bCs/>
          <w:color w:val="auto"/>
          <w:highlight w:val="none"/>
          <w:lang w:val="en-US" w:eastAsia="zh-CN"/>
        </w:rPr>
        <w:t>6</w:t>
      </w:r>
      <w:r>
        <w:rPr>
          <w:rFonts w:hint="eastAsia"/>
          <w:b/>
          <w:bCs/>
          <w:color w:val="auto"/>
          <w:highlight w:val="none"/>
        </w:rPr>
        <w:t>.解释权</w:t>
      </w:r>
      <w:bookmarkEnd w:id="262"/>
    </w:p>
    <w:p w14:paraId="08B9F9E3">
      <w:pPr>
        <w:bidi w:val="0"/>
        <w:rPr>
          <w:rFonts w:ascii="仿宋" w:hAnsi="仿宋" w:eastAsia="仿宋" w:cs="仿宋"/>
          <w:color w:val="auto"/>
          <w:sz w:val="24"/>
          <w:szCs w:val="24"/>
          <w:highlight w:val="none"/>
        </w:rPr>
      </w:pPr>
      <w:r>
        <w:rPr>
          <w:rFonts w:hint="eastAsia"/>
          <w:color w:val="auto"/>
          <w:highlight w:val="none"/>
        </w:rPr>
        <w:t>本磋商文件是根据国家有关法律、法规以及</w:t>
      </w:r>
      <w:r>
        <w:rPr>
          <w:rFonts w:hint="eastAsia"/>
          <w:color w:val="auto"/>
          <w:highlight w:val="none"/>
          <w:lang w:val="en-US" w:eastAsia="zh-CN"/>
        </w:rPr>
        <w:t>公司</w:t>
      </w:r>
      <w:r>
        <w:rPr>
          <w:rFonts w:hint="eastAsia"/>
          <w:color w:val="auto"/>
          <w:highlight w:val="none"/>
        </w:rPr>
        <w:t>采购管理有关规定编制，解释权属</w:t>
      </w:r>
      <w:r>
        <w:rPr>
          <w:rFonts w:hint="eastAsia"/>
          <w:color w:val="auto"/>
          <w:highlight w:val="none"/>
          <w:lang w:val="en-US" w:eastAsia="zh-CN"/>
        </w:rPr>
        <w:t>采购人</w:t>
      </w:r>
      <w:r>
        <w:rPr>
          <w:rFonts w:hint="eastAsia"/>
          <w:color w:val="auto"/>
          <w:highlight w:val="none"/>
          <w:lang w:eastAsia="zh-CN"/>
        </w:rPr>
        <w:t>。</w:t>
      </w:r>
    </w:p>
    <w:p w14:paraId="3178B618">
      <w:pPr>
        <w:pStyle w:val="2"/>
        <w:bidi w:val="0"/>
        <w:rPr>
          <w:rFonts w:ascii="仿宋" w:hAnsi="仿宋" w:eastAsia="仿宋" w:cs="仿宋"/>
          <w:b/>
          <w:color w:val="auto"/>
          <w:sz w:val="32"/>
          <w:szCs w:val="32"/>
          <w:highlight w:val="none"/>
        </w:rPr>
      </w:pPr>
      <w:bookmarkStart w:id="272" w:name="_Toc498611429"/>
      <w:r>
        <w:rPr>
          <w:rFonts w:hint="eastAsia" w:ascii="仿宋" w:hAnsi="仿宋" w:eastAsia="仿宋" w:cs="仿宋"/>
          <w:b/>
          <w:color w:val="auto"/>
          <w:sz w:val="24"/>
          <w:szCs w:val="24"/>
          <w:highlight w:val="none"/>
        </w:rPr>
        <w:br w:type="page"/>
      </w:r>
      <w:bookmarkStart w:id="273" w:name="_Toc22683"/>
      <w:bookmarkStart w:id="274" w:name="_Toc8947"/>
      <w:bookmarkStart w:id="275" w:name="_Toc18113"/>
      <w:bookmarkStart w:id="276" w:name="_Toc10147"/>
      <w:bookmarkStart w:id="277" w:name="_Toc27807"/>
      <w:bookmarkStart w:id="278" w:name="_Toc2772"/>
      <w:bookmarkStart w:id="279" w:name="_Toc10602"/>
      <w:bookmarkStart w:id="280" w:name="_Toc23663"/>
      <w:bookmarkStart w:id="281" w:name="_Toc23284"/>
      <w:bookmarkStart w:id="282" w:name="_Toc225565935"/>
      <w:bookmarkStart w:id="283" w:name="_Toc387418052"/>
      <w:r>
        <w:rPr>
          <w:rStyle w:val="32"/>
          <w:rFonts w:hint="eastAsia"/>
          <w:highlight w:val="none"/>
          <w:lang w:val="en-US" w:eastAsia="zh-CN"/>
        </w:rPr>
        <w:t xml:space="preserve">第三章  </w:t>
      </w:r>
      <w:r>
        <w:rPr>
          <w:rStyle w:val="32"/>
          <w:rFonts w:hint="eastAsia"/>
          <w:highlight w:val="none"/>
        </w:rPr>
        <w:t>拟签订</w:t>
      </w:r>
      <w:r>
        <w:rPr>
          <w:rStyle w:val="32"/>
          <w:rFonts w:hint="eastAsia"/>
          <w:color w:val="auto"/>
          <w:highlight w:val="none"/>
        </w:rPr>
        <w:t>的合同文本</w:t>
      </w:r>
      <w:bookmarkEnd w:id="272"/>
      <w:bookmarkEnd w:id="273"/>
      <w:bookmarkEnd w:id="274"/>
      <w:bookmarkEnd w:id="275"/>
      <w:bookmarkEnd w:id="276"/>
      <w:bookmarkEnd w:id="277"/>
      <w:bookmarkEnd w:id="278"/>
      <w:bookmarkEnd w:id="279"/>
      <w:bookmarkEnd w:id="280"/>
      <w:bookmarkEnd w:id="281"/>
    </w:p>
    <w:p w14:paraId="7CFE586E">
      <w:pPr>
        <w:keepNext w:val="0"/>
        <w:keepLines w:val="0"/>
        <w:pageBreakBefore w:val="0"/>
        <w:widowControl/>
        <w:kinsoku/>
        <w:wordWrap w:val="0"/>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bCs/>
          <w:color w:val="auto"/>
          <w:kern w:val="2"/>
          <w:sz w:val="40"/>
          <w:szCs w:val="40"/>
          <w:highlight w:val="none"/>
          <w:lang w:eastAsia="zh-CN"/>
        </w:rPr>
      </w:pPr>
      <w:bookmarkStart w:id="284" w:name="_Toc498611430"/>
      <w:bookmarkStart w:id="285" w:name="_Toc21251"/>
    </w:p>
    <w:p w14:paraId="4B3E275B">
      <w:pPr>
        <w:ind w:left="0" w:leftChars="0" w:firstLine="0" w:firstLineChars="0"/>
        <w:jc w:val="center"/>
        <w:rPr>
          <w:color w:val="auto"/>
          <w:highlight w:val="none"/>
        </w:rPr>
      </w:pPr>
      <w:r>
        <w:rPr>
          <w:rFonts w:hint="eastAsia" w:cs="仿宋_GB2312"/>
          <w:highlight w:val="none"/>
        </w:rPr>
        <w:t>由采购人与成交供应商协商确定</w:t>
      </w:r>
      <w:r>
        <w:rPr>
          <w:rFonts w:hint="eastAsia"/>
          <w:color w:val="auto"/>
          <w:highlight w:val="none"/>
        </w:rPr>
        <w:br w:type="page"/>
      </w:r>
    </w:p>
    <w:p w14:paraId="39C62597">
      <w:pPr>
        <w:pStyle w:val="2"/>
        <w:bidi w:val="0"/>
        <w:rPr>
          <w:rFonts w:ascii="仿宋" w:hAnsi="仿宋" w:eastAsia="仿宋" w:cs="仿宋"/>
          <w:b/>
          <w:bCs/>
          <w:color w:val="auto"/>
          <w:sz w:val="32"/>
          <w:highlight w:val="none"/>
        </w:rPr>
      </w:pPr>
      <w:bookmarkStart w:id="286" w:name="_Toc2057"/>
      <w:bookmarkStart w:id="287" w:name="_Toc12213"/>
      <w:bookmarkStart w:id="288" w:name="_Toc1364"/>
      <w:bookmarkStart w:id="289" w:name="_Toc5862"/>
      <w:bookmarkStart w:id="290" w:name="_Toc25343"/>
      <w:bookmarkStart w:id="291" w:name="_Toc6057"/>
      <w:bookmarkStart w:id="292" w:name="_Toc21210"/>
      <w:bookmarkStart w:id="293" w:name="_Toc21598"/>
      <w:r>
        <w:rPr>
          <w:rStyle w:val="32"/>
          <w:rFonts w:hint="eastAsia"/>
          <w:highlight w:val="none"/>
          <w:lang w:val="en-US" w:eastAsia="zh-CN"/>
        </w:rPr>
        <w:t xml:space="preserve">第四章  </w:t>
      </w:r>
      <w:r>
        <w:rPr>
          <w:rStyle w:val="32"/>
          <w:rFonts w:hint="eastAsia"/>
          <w:highlight w:val="none"/>
        </w:rPr>
        <w:t>响应文件格式</w:t>
      </w:r>
      <w:bookmarkEnd w:id="282"/>
      <w:bookmarkEnd w:id="283"/>
      <w:bookmarkEnd w:id="284"/>
      <w:bookmarkEnd w:id="285"/>
      <w:bookmarkEnd w:id="286"/>
      <w:bookmarkEnd w:id="287"/>
      <w:bookmarkEnd w:id="288"/>
      <w:bookmarkEnd w:id="289"/>
      <w:bookmarkEnd w:id="290"/>
      <w:bookmarkEnd w:id="291"/>
      <w:bookmarkEnd w:id="292"/>
      <w:bookmarkEnd w:id="293"/>
    </w:p>
    <w:p w14:paraId="186DDDDE">
      <w:pPr>
        <w:bidi w:val="0"/>
        <w:rPr>
          <w:highlight w:val="none"/>
        </w:rPr>
      </w:pPr>
    </w:p>
    <w:p w14:paraId="4D7A7572">
      <w:pPr>
        <w:rPr>
          <w:color w:val="auto"/>
          <w:highlight w:val="none"/>
        </w:rPr>
      </w:pPr>
    </w:p>
    <w:p w14:paraId="5038E433">
      <w:pPr>
        <w:bidi w:val="0"/>
        <w:ind w:left="0" w:leftChars="0" w:firstLine="0" w:firstLineChars="0"/>
        <w:jc w:val="center"/>
        <w:rPr>
          <w:b/>
          <w:bCs/>
          <w:color w:val="auto"/>
          <w:sz w:val="32"/>
          <w:szCs w:val="32"/>
          <w:highlight w:val="none"/>
        </w:rPr>
      </w:pPr>
      <w:r>
        <w:rPr>
          <w:rFonts w:hint="eastAsia"/>
          <w:b/>
          <w:bCs/>
          <w:color w:val="auto"/>
          <w:sz w:val="32"/>
          <w:szCs w:val="32"/>
          <w:highlight w:val="none"/>
        </w:rPr>
        <w:t>磋商响应文件</w:t>
      </w:r>
    </w:p>
    <w:p w14:paraId="310A68CB">
      <w:pPr>
        <w:rPr>
          <w:rFonts w:ascii="仿宋" w:hAnsi="仿宋" w:eastAsia="仿宋" w:cs="仿宋"/>
          <w:color w:val="auto"/>
          <w:sz w:val="24"/>
          <w:highlight w:val="none"/>
        </w:rPr>
      </w:pPr>
    </w:p>
    <w:p w14:paraId="423DDDDD">
      <w:pPr>
        <w:rPr>
          <w:rFonts w:ascii="仿宋" w:hAnsi="仿宋" w:eastAsia="仿宋" w:cs="仿宋"/>
          <w:color w:val="auto"/>
          <w:sz w:val="24"/>
          <w:highlight w:val="none"/>
        </w:rPr>
      </w:pPr>
    </w:p>
    <w:p w14:paraId="5B290C61">
      <w:pPr>
        <w:ind w:left="0" w:leftChars="0" w:firstLine="0" w:firstLineChars="0"/>
        <w:rPr>
          <w:rFonts w:ascii="仿宋" w:hAnsi="仿宋" w:eastAsia="仿宋" w:cs="仿宋"/>
          <w:color w:val="auto"/>
          <w:sz w:val="24"/>
          <w:highlight w:val="none"/>
        </w:rPr>
      </w:pPr>
    </w:p>
    <w:p w14:paraId="1CB7FD33">
      <w:pPr>
        <w:ind w:left="0" w:leftChars="0" w:firstLine="0" w:firstLineChars="0"/>
        <w:rPr>
          <w:rFonts w:ascii="仿宋" w:hAnsi="仿宋" w:eastAsia="仿宋" w:cs="仿宋"/>
          <w:color w:val="auto"/>
          <w:sz w:val="24"/>
          <w:highlight w:val="none"/>
        </w:rPr>
      </w:pPr>
    </w:p>
    <w:p w14:paraId="18DD9B6D">
      <w:pPr>
        <w:rPr>
          <w:rFonts w:ascii="仿宋" w:hAnsi="仿宋" w:eastAsia="仿宋" w:cs="仿宋"/>
          <w:color w:val="auto"/>
          <w:sz w:val="24"/>
          <w:highlight w:val="none"/>
        </w:rPr>
      </w:pPr>
    </w:p>
    <w:p w14:paraId="56C389CC">
      <w:pPr>
        <w:bidi w:val="0"/>
        <w:ind w:firstLine="960" w:firstLineChars="400"/>
        <w:jc w:val="both"/>
        <w:rPr>
          <w:rFonts w:hint="eastAsia"/>
          <w:color w:val="auto"/>
          <w:highlight w:val="none"/>
          <w:u w:val="single"/>
          <w:lang w:val="en-US" w:eastAsia="zh-CN"/>
        </w:rPr>
      </w:pPr>
      <w:r>
        <w:rPr>
          <w:rFonts w:hint="eastAsia"/>
          <w:color w:val="auto"/>
          <w:highlight w:val="none"/>
        </w:rPr>
        <w:t>项目名称：</w:t>
      </w:r>
      <w:r>
        <w:rPr>
          <w:rFonts w:hint="eastAsia" w:cs="Times New Roman"/>
          <w:color w:val="auto"/>
          <w:highlight w:val="none"/>
          <w:u w:val="single"/>
          <w:lang w:val="en-US" w:eastAsia="zh-CN"/>
        </w:rPr>
        <w:t xml:space="preserve"> 江西萍乡建工集团有限公司财务系统项目 </w:t>
      </w:r>
    </w:p>
    <w:p w14:paraId="79172590">
      <w:pPr>
        <w:bidi w:val="0"/>
        <w:ind w:left="0" w:leftChars="0" w:firstLine="2160" w:firstLineChars="900"/>
        <w:jc w:val="both"/>
        <w:rPr>
          <w:rFonts w:hint="eastAsia"/>
          <w:color w:val="auto"/>
          <w:highlight w:val="none"/>
        </w:rPr>
      </w:pPr>
    </w:p>
    <w:p w14:paraId="77400AB6">
      <w:pPr>
        <w:bidi w:val="0"/>
        <w:ind w:firstLine="960" w:firstLineChars="400"/>
        <w:jc w:val="both"/>
        <w:rPr>
          <w:rFonts w:hint="default" w:eastAsia="仿宋"/>
          <w:color w:val="auto"/>
          <w:highlight w:val="none"/>
          <w:u w:val="single"/>
          <w:lang w:val="en-US" w:eastAsia="zh-CN"/>
        </w:rPr>
      </w:pPr>
      <w:r>
        <w:rPr>
          <w:rFonts w:hint="eastAsia"/>
          <w:color w:val="auto"/>
          <w:highlight w:val="none"/>
        </w:rPr>
        <w:t>项目编号：</w:t>
      </w:r>
      <w:r>
        <w:rPr>
          <w:rFonts w:hint="eastAsia" w:cs="Times New Roman"/>
          <w:color w:val="auto"/>
          <w:highlight w:val="none"/>
          <w:u w:val="single"/>
          <w:lang w:val="en-US" w:eastAsia="zh-CN"/>
        </w:rPr>
        <w:t xml:space="preserve"> JXPXJG-CG-JT-2026-FW-002</w:t>
      </w:r>
    </w:p>
    <w:p w14:paraId="17D0C624">
      <w:pPr>
        <w:bidi w:val="0"/>
        <w:rPr>
          <w:color w:val="auto"/>
          <w:highlight w:val="none"/>
        </w:rPr>
      </w:pPr>
    </w:p>
    <w:p w14:paraId="64CC6C48">
      <w:pPr>
        <w:bidi w:val="0"/>
        <w:ind w:firstLine="960" w:firstLineChars="400"/>
        <w:jc w:val="both"/>
        <w:rPr>
          <w:rFonts w:hint="eastAsia" w:ascii="Times New Roman" w:hAnsi="Times New Roman" w:cs="Times New Roman"/>
          <w:color w:val="auto"/>
          <w:highlight w:val="none"/>
          <w:u w:val="single"/>
          <w:lang w:val="en-US" w:eastAsia="zh-CN"/>
        </w:rPr>
      </w:pPr>
      <w:r>
        <w:rPr>
          <w:rFonts w:hint="eastAsia"/>
          <w:color w:val="auto"/>
          <w:highlight w:val="none"/>
          <w:lang w:val="en-US" w:eastAsia="zh-CN"/>
        </w:rPr>
        <w:t>供 应 商：</w:t>
      </w:r>
      <w:r>
        <w:rPr>
          <w:rFonts w:hint="eastAsia"/>
          <w:color w:val="auto"/>
          <w:highlight w:val="none"/>
          <w:u w:val="single"/>
          <w:lang w:val="en-US" w:eastAsia="zh-CN"/>
        </w:rPr>
        <w:t xml:space="preserve">           </w:t>
      </w:r>
      <w:r>
        <w:rPr>
          <w:rFonts w:hint="eastAsia" w:ascii="Times New Roman" w:hAnsi="Times New Roman" w:cs="Times New Roman"/>
          <w:color w:val="auto"/>
          <w:highlight w:val="none"/>
          <w:u w:val="single"/>
          <w:lang w:val="en-US" w:eastAsia="zh-CN"/>
        </w:rPr>
        <w:t>（公章或投标专用章）</w:t>
      </w:r>
    </w:p>
    <w:p w14:paraId="090009C8">
      <w:pPr>
        <w:pStyle w:val="14"/>
        <w:rPr>
          <w:rFonts w:hint="eastAsia" w:ascii="Times New Roman" w:hAnsi="Times New Roman" w:cs="Times New Roman"/>
          <w:color w:val="auto"/>
          <w:highlight w:val="none"/>
          <w:u w:val="single"/>
          <w:lang w:val="en-US" w:eastAsia="zh-CN"/>
        </w:rPr>
      </w:pPr>
    </w:p>
    <w:p w14:paraId="715182AB">
      <w:pPr>
        <w:pStyle w:val="14"/>
        <w:rPr>
          <w:rFonts w:hint="eastAsia" w:ascii="Times New Roman" w:hAnsi="Times New Roman" w:cs="Times New Roman"/>
          <w:color w:val="auto"/>
          <w:highlight w:val="none"/>
          <w:u w:val="single"/>
          <w:lang w:val="en-US" w:eastAsia="zh-CN"/>
        </w:rPr>
      </w:pPr>
    </w:p>
    <w:p w14:paraId="641FA159">
      <w:pPr>
        <w:pStyle w:val="14"/>
        <w:rPr>
          <w:rFonts w:hint="eastAsia" w:ascii="Times New Roman" w:hAnsi="Times New Roman" w:cs="Times New Roman"/>
          <w:color w:val="auto"/>
          <w:highlight w:val="none"/>
          <w:u w:val="single"/>
          <w:lang w:val="en-US" w:eastAsia="zh-CN"/>
        </w:rPr>
      </w:pPr>
    </w:p>
    <w:p w14:paraId="5DA6A1D3">
      <w:pPr>
        <w:bidi w:val="0"/>
        <w:rPr>
          <w:color w:val="auto"/>
          <w:highlight w:val="none"/>
        </w:rPr>
      </w:pPr>
    </w:p>
    <w:p w14:paraId="472049E2">
      <w:pPr>
        <w:bidi w:val="0"/>
        <w:rPr>
          <w:color w:val="auto"/>
          <w:highlight w:val="none"/>
        </w:rPr>
        <w:sectPr>
          <w:headerReference r:id="rId9" w:type="default"/>
          <w:footerReference r:id="rId10" w:type="default"/>
          <w:pgSz w:w="11905" w:h="16838"/>
          <w:pgMar w:top="1417" w:right="1814" w:bottom="1417" w:left="1814" w:header="850" w:footer="992" w:gutter="0"/>
          <w:pgBorders>
            <w:top w:val="none" w:sz="0" w:space="0"/>
            <w:left w:val="none" w:sz="0" w:space="0"/>
            <w:bottom w:val="none" w:sz="0" w:space="0"/>
            <w:right w:val="none" w:sz="0" w:space="0"/>
          </w:pgBorders>
          <w:pgNumType w:fmt="decimal"/>
          <w:cols w:space="0" w:num="1"/>
          <w:rtlGutter w:val="0"/>
          <w:docGrid w:type="linesAndChars" w:linePitch="333" w:charSpace="0"/>
        </w:sectPr>
      </w:pP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年   月   日</w:t>
      </w:r>
    </w:p>
    <w:p w14:paraId="218456F4">
      <w:pPr>
        <w:pStyle w:val="3"/>
        <w:numPr>
          <w:ilvl w:val="0"/>
          <w:numId w:val="0"/>
        </w:numPr>
        <w:bidi w:val="0"/>
        <w:jc w:val="center"/>
        <w:rPr>
          <w:rFonts w:hint="eastAsia" w:ascii="仿宋_GB2312" w:hAnsi="仿宋_GB2312" w:eastAsia="仿宋_GB2312" w:cs="仿宋_GB2312"/>
          <w:highlight w:val="none"/>
        </w:rPr>
      </w:pPr>
      <w:bookmarkStart w:id="294" w:name="_Toc23121"/>
      <w:bookmarkStart w:id="295" w:name="_Toc32519"/>
      <w:bookmarkStart w:id="296" w:name="_Toc15100"/>
      <w:bookmarkStart w:id="297" w:name="_Toc29980"/>
      <w:bookmarkStart w:id="298" w:name="_Toc498611431"/>
      <w:bookmarkStart w:id="299" w:name="_Toc8736"/>
      <w:bookmarkStart w:id="300" w:name="_Toc505020167"/>
      <w:bookmarkStart w:id="301" w:name="_Toc13964"/>
      <w:bookmarkStart w:id="302" w:name="_Toc26266"/>
      <w:bookmarkStart w:id="303" w:name="_Toc7671"/>
      <w:bookmarkStart w:id="304" w:name="_Toc2893"/>
      <w:r>
        <w:rPr>
          <w:rFonts w:hint="eastAsia" w:ascii="仿宋_GB2312" w:hAnsi="仿宋_GB2312" w:eastAsia="仿宋_GB2312" w:cs="仿宋_GB2312"/>
          <w:highlight w:val="none"/>
          <w:lang w:val="en-US" w:eastAsia="zh-CN"/>
        </w:rPr>
        <w:t>格式1.</w:t>
      </w:r>
      <w:r>
        <w:rPr>
          <w:rFonts w:hint="eastAsia" w:ascii="仿宋_GB2312" w:hAnsi="仿宋_GB2312" w:eastAsia="仿宋_GB2312" w:cs="仿宋_GB2312"/>
          <w:highlight w:val="none"/>
        </w:rPr>
        <w:t>磋商响应书</w:t>
      </w:r>
      <w:bookmarkEnd w:id="294"/>
      <w:bookmarkEnd w:id="295"/>
      <w:bookmarkEnd w:id="296"/>
      <w:bookmarkEnd w:id="297"/>
      <w:bookmarkEnd w:id="298"/>
      <w:bookmarkEnd w:id="299"/>
      <w:bookmarkEnd w:id="300"/>
      <w:bookmarkEnd w:id="301"/>
      <w:bookmarkEnd w:id="302"/>
      <w:bookmarkEnd w:id="303"/>
      <w:bookmarkEnd w:id="304"/>
    </w:p>
    <w:p w14:paraId="22C1BBFA">
      <w:pPr>
        <w:spacing w:line="400" w:lineRule="exact"/>
        <w:ind w:left="0" w:leftChars="0" w:firstLine="0" w:firstLineChars="0"/>
        <w:rPr>
          <w:rFonts w:hint="eastAsia" w:ascii="仿宋_GB2312" w:hAnsi="仿宋_GB2312" w:eastAsia="仿宋_GB2312" w:cs="仿宋_GB2312"/>
          <w:i w:val="0"/>
          <w:iCs w:val="0"/>
          <w:color w:val="auto"/>
          <w:sz w:val="24"/>
          <w:highlight w:val="none"/>
          <w:lang w:val="en-US" w:eastAsia="zh-CN"/>
        </w:rPr>
      </w:pPr>
      <w:r>
        <w:rPr>
          <w:rFonts w:hint="eastAsia" w:ascii="仿宋_GB2312" w:hAnsi="仿宋_GB2312" w:eastAsia="仿宋_GB2312" w:cs="仿宋_GB2312"/>
          <w:i w:val="0"/>
          <w:iCs w:val="0"/>
          <w:color w:val="auto"/>
          <w:sz w:val="24"/>
          <w:highlight w:val="none"/>
        </w:rPr>
        <w:t>致：</w:t>
      </w:r>
      <w:r>
        <w:rPr>
          <w:rFonts w:hint="eastAsia"/>
          <w:highlight w:val="none"/>
          <w:u w:val="single"/>
          <w:lang w:val="en-US" w:eastAsia="zh-CN"/>
        </w:rPr>
        <w:t>江西萍乡建工集团有限公司</w:t>
      </w:r>
    </w:p>
    <w:p w14:paraId="099BEE0A">
      <w:pPr>
        <w:spacing w:line="400" w:lineRule="exact"/>
        <w:ind w:firstLine="480"/>
        <w:rPr>
          <w:rFonts w:hint="eastAsia" w:ascii="仿宋_GB2312" w:hAnsi="仿宋_GB2312" w:eastAsia="仿宋_GB2312" w:cs="仿宋_GB2312"/>
          <w:i w:val="0"/>
          <w:iCs w:val="0"/>
          <w:color w:val="auto"/>
          <w:sz w:val="24"/>
          <w:highlight w:val="none"/>
        </w:rPr>
      </w:pPr>
      <w:r>
        <w:rPr>
          <w:rFonts w:hint="eastAsia" w:ascii="仿宋_GB2312" w:hAnsi="仿宋_GB2312" w:eastAsia="仿宋_GB2312" w:cs="仿宋_GB2312"/>
          <w:i w:val="0"/>
          <w:iCs w:val="0"/>
          <w:color w:val="auto"/>
          <w:sz w:val="24"/>
          <w:highlight w:val="none"/>
        </w:rPr>
        <w:t>根据贵方为</w:t>
      </w:r>
      <w:r>
        <w:rPr>
          <w:rFonts w:hint="eastAsia" w:ascii="仿宋_GB2312" w:hAnsi="仿宋_GB2312" w:eastAsia="仿宋_GB2312" w:cs="仿宋_GB2312"/>
          <w:i w:val="0"/>
          <w:iCs w:val="0"/>
          <w:color w:val="auto"/>
          <w:sz w:val="24"/>
          <w:highlight w:val="none"/>
          <w:u w:val="single"/>
          <w:lang w:val="en-US" w:eastAsia="zh-CN"/>
        </w:rPr>
        <w:t xml:space="preserve"> </w:t>
      </w:r>
      <w:r>
        <w:rPr>
          <w:rFonts w:hint="eastAsia" w:cs="Times New Roman"/>
          <w:color w:val="auto"/>
          <w:highlight w:val="none"/>
          <w:u w:val="single"/>
          <w:lang w:val="en-US" w:eastAsia="zh-CN"/>
        </w:rPr>
        <w:t>江西萍乡建工集团有限公司财务系统项目</w:t>
      </w:r>
      <w:r>
        <w:rPr>
          <w:rFonts w:hint="eastAsia" w:ascii="仿宋_GB2312" w:hAnsi="仿宋_GB2312" w:eastAsia="仿宋_GB2312" w:cs="仿宋_GB2312"/>
          <w:i w:val="0"/>
          <w:iCs w:val="0"/>
          <w:color w:val="auto"/>
          <w:sz w:val="24"/>
          <w:highlight w:val="none"/>
          <w:u w:val="single"/>
          <w:lang w:val="en-US" w:eastAsia="zh-CN"/>
        </w:rPr>
        <w:t xml:space="preserve"> </w:t>
      </w:r>
      <w:r>
        <w:rPr>
          <w:rFonts w:hint="eastAsia" w:ascii="仿宋_GB2312" w:hAnsi="仿宋_GB2312" w:eastAsia="仿宋_GB2312" w:cs="仿宋_GB2312"/>
          <w:i w:val="0"/>
          <w:iCs w:val="0"/>
          <w:color w:val="auto"/>
          <w:sz w:val="24"/>
          <w:highlight w:val="none"/>
        </w:rPr>
        <w:t>项目竞争性磋商采购相关的</w:t>
      </w:r>
      <w:r>
        <w:rPr>
          <w:rFonts w:hint="eastAsia" w:ascii="仿宋_GB2312" w:hAnsi="仿宋_GB2312" w:eastAsia="仿宋_GB2312" w:cs="仿宋_GB2312"/>
          <w:i w:val="0"/>
          <w:iCs w:val="0"/>
          <w:color w:val="auto"/>
          <w:sz w:val="24"/>
          <w:highlight w:val="none"/>
          <w:lang w:eastAsia="zh-CN"/>
        </w:rPr>
        <w:t>磋商公告</w:t>
      </w:r>
      <w:r>
        <w:rPr>
          <w:rFonts w:hint="eastAsia" w:ascii="仿宋_GB2312" w:hAnsi="仿宋_GB2312" w:eastAsia="仿宋_GB2312" w:cs="仿宋_GB2312"/>
          <w:i w:val="0"/>
          <w:iCs w:val="0"/>
          <w:color w:val="auto"/>
          <w:sz w:val="24"/>
          <w:highlight w:val="none"/>
        </w:rPr>
        <w:t>，签字代表(</w:t>
      </w:r>
      <w:r>
        <w:rPr>
          <w:rFonts w:hint="eastAsia" w:ascii="仿宋_GB2312" w:hAnsi="仿宋_GB2312" w:eastAsia="仿宋_GB2312" w:cs="仿宋_GB2312"/>
          <w:i w:val="0"/>
          <w:iCs w:val="0"/>
          <w:color w:val="auto"/>
          <w:sz w:val="24"/>
          <w:highlight w:val="none"/>
          <w:u w:val="single"/>
        </w:rPr>
        <w:t>姓名</w:t>
      </w:r>
      <w:r>
        <w:rPr>
          <w:rFonts w:hint="eastAsia" w:ascii="仿宋_GB2312" w:hAnsi="仿宋_GB2312" w:eastAsia="仿宋_GB2312" w:cs="仿宋_GB2312"/>
          <w:i w:val="0"/>
          <w:iCs w:val="0"/>
          <w:color w:val="auto"/>
          <w:sz w:val="24"/>
          <w:highlight w:val="none"/>
          <w:u w:val="single"/>
          <w:lang w:eastAsia="zh-CN"/>
        </w:rPr>
        <w:t>：</w:t>
      </w:r>
      <w:r>
        <w:rPr>
          <w:rFonts w:hint="eastAsia" w:ascii="仿宋_GB2312" w:hAnsi="仿宋_GB2312" w:eastAsia="仿宋_GB2312" w:cs="仿宋_GB2312"/>
          <w:i w:val="0"/>
          <w:iCs w:val="0"/>
          <w:color w:val="auto"/>
          <w:sz w:val="24"/>
          <w:highlight w:val="none"/>
          <w:u w:val="single"/>
          <w:lang w:val="en-US" w:eastAsia="zh-CN"/>
        </w:rPr>
        <w:t xml:space="preserve">   </w:t>
      </w:r>
      <w:r>
        <w:rPr>
          <w:rFonts w:hint="eastAsia" w:cs="仿宋_GB2312"/>
          <w:i w:val="0"/>
          <w:iCs w:val="0"/>
          <w:color w:val="auto"/>
          <w:sz w:val="24"/>
          <w:highlight w:val="none"/>
          <w:u w:val="single"/>
          <w:lang w:val="en-US" w:eastAsia="zh-CN"/>
        </w:rPr>
        <w:t xml:space="preserve">  </w:t>
      </w:r>
      <w:r>
        <w:rPr>
          <w:rFonts w:hint="eastAsia" w:ascii="仿宋_GB2312" w:hAnsi="仿宋_GB2312" w:eastAsia="仿宋_GB2312" w:cs="仿宋_GB2312"/>
          <w:i w:val="0"/>
          <w:iCs w:val="0"/>
          <w:color w:val="auto"/>
          <w:sz w:val="24"/>
          <w:highlight w:val="none"/>
          <w:u w:val="single"/>
          <w:lang w:val="en-US" w:eastAsia="zh-CN"/>
        </w:rPr>
        <w:t xml:space="preserve"> </w:t>
      </w:r>
      <w:r>
        <w:rPr>
          <w:rFonts w:hint="eastAsia" w:ascii="仿宋_GB2312" w:hAnsi="仿宋_GB2312" w:eastAsia="仿宋_GB2312" w:cs="仿宋_GB2312"/>
          <w:i w:val="0"/>
          <w:iCs w:val="0"/>
          <w:color w:val="auto"/>
          <w:sz w:val="24"/>
          <w:highlight w:val="none"/>
          <w:u w:val="single"/>
        </w:rPr>
        <w:t>职务</w:t>
      </w:r>
      <w:r>
        <w:rPr>
          <w:rFonts w:hint="eastAsia" w:ascii="仿宋_GB2312" w:hAnsi="仿宋_GB2312" w:eastAsia="仿宋_GB2312" w:cs="仿宋_GB2312"/>
          <w:i w:val="0"/>
          <w:iCs w:val="0"/>
          <w:color w:val="auto"/>
          <w:sz w:val="24"/>
          <w:highlight w:val="none"/>
          <w:u w:val="single"/>
          <w:lang w:eastAsia="zh-CN"/>
        </w:rPr>
        <w:t>：</w:t>
      </w:r>
      <w:r>
        <w:rPr>
          <w:rFonts w:hint="eastAsia" w:ascii="仿宋_GB2312" w:hAnsi="仿宋_GB2312" w:eastAsia="仿宋_GB2312" w:cs="仿宋_GB2312"/>
          <w:i w:val="0"/>
          <w:iCs w:val="0"/>
          <w:color w:val="auto"/>
          <w:sz w:val="24"/>
          <w:highlight w:val="none"/>
          <w:u w:val="single"/>
          <w:lang w:val="en-US" w:eastAsia="zh-CN"/>
        </w:rPr>
        <w:t xml:space="preserve">  </w:t>
      </w:r>
      <w:r>
        <w:rPr>
          <w:rFonts w:hint="eastAsia" w:cs="仿宋_GB2312"/>
          <w:i w:val="0"/>
          <w:iCs w:val="0"/>
          <w:color w:val="auto"/>
          <w:sz w:val="24"/>
          <w:highlight w:val="none"/>
          <w:u w:val="single"/>
          <w:lang w:val="en-US" w:eastAsia="zh-CN"/>
        </w:rPr>
        <w:t xml:space="preserve">  </w:t>
      </w:r>
      <w:r>
        <w:rPr>
          <w:rFonts w:hint="eastAsia" w:ascii="仿宋_GB2312" w:hAnsi="仿宋_GB2312" w:eastAsia="仿宋_GB2312" w:cs="仿宋_GB2312"/>
          <w:i w:val="0"/>
          <w:iCs w:val="0"/>
          <w:color w:val="auto"/>
          <w:sz w:val="24"/>
          <w:highlight w:val="none"/>
          <w:u w:val="single"/>
          <w:lang w:val="en-US" w:eastAsia="zh-CN"/>
        </w:rPr>
        <w:t xml:space="preserve">  </w:t>
      </w:r>
      <w:r>
        <w:rPr>
          <w:rFonts w:hint="eastAsia" w:ascii="仿宋_GB2312" w:hAnsi="仿宋_GB2312" w:eastAsia="仿宋_GB2312" w:cs="仿宋_GB2312"/>
          <w:i w:val="0"/>
          <w:iCs w:val="0"/>
          <w:color w:val="auto"/>
          <w:sz w:val="24"/>
          <w:highlight w:val="none"/>
        </w:rPr>
        <w:t>)经正式授权并代表我方</w:t>
      </w:r>
      <w:r>
        <w:rPr>
          <w:rFonts w:hint="eastAsia" w:ascii="仿宋_GB2312" w:hAnsi="仿宋_GB2312" w:eastAsia="仿宋_GB2312" w:cs="仿宋_GB2312"/>
          <w:i w:val="0"/>
          <w:iCs w:val="0"/>
          <w:color w:val="auto"/>
          <w:sz w:val="24"/>
          <w:highlight w:val="none"/>
          <w:u w:val="single"/>
        </w:rPr>
        <w:t>(</w:t>
      </w:r>
      <w:r>
        <w:rPr>
          <w:rFonts w:hint="eastAsia" w:ascii="仿宋_GB2312" w:hAnsi="仿宋_GB2312" w:eastAsia="仿宋_GB2312" w:cs="仿宋_GB2312"/>
          <w:i w:val="0"/>
          <w:iCs w:val="0"/>
          <w:color w:val="auto"/>
          <w:sz w:val="24"/>
          <w:highlight w:val="none"/>
          <w:u w:val="single"/>
          <w:lang w:val="en-US" w:eastAsia="zh-CN"/>
        </w:rPr>
        <w:t>供应商</w:t>
      </w:r>
      <w:r>
        <w:rPr>
          <w:rFonts w:hint="eastAsia" w:ascii="仿宋_GB2312" w:hAnsi="仿宋_GB2312" w:eastAsia="仿宋_GB2312" w:cs="仿宋_GB2312"/>
          <w:i w:val="0"/>
          <w:iCs w:val="0"/>
          <w:color w:val="auto"/>
          <w:sz w:val="24"/>
          <w:highlight w:val="none"/>
          <w:u w:val="single"/>
        </w:rPr>
        <w:t>名称)</w:t>
      </w:r>
      <w:r>
        <w:rPr>
          <w:rFonts w:hint="eastAsia" w:ascii="仿宋_GB2312" w:hAnsi="仿宋_GB2312" w:eastAsia="仿宋_GB2312" w:cs="仿宋_GB2312"/>
          <w:i w:val="0"/>
          <w:iCs w:val="0"/>
          <w:color w:val="auto"/>
          <w:sz w:val="24"/>
          <w:highlight w:val="none"/>
        </w:rPr>
        <w:t>提交下述文件正本一份及副本</w:t>
      </w:r>
      <w:r>
        <w:rPr>
          <w:rFonts w:hint="eastAsia" w:ascii="仿宋_GB2312" w:hAnsi="仿宋_GB2312" w:eastAsia="仿宋_GB2312" w:cs="仿宋_GB2312"/>
          <w:i w:val="0"/>
          <w:iCs w:val="0"/>
          <w:color w:val="auto"/>
          <w:sz w:val="24"/>
          <w:highlight w:val="none"/>
          <w:lang w:val="en-US" w:eastAsia="zh-CN"/>
        </w:rPr>
        <w:t>一</w:t>
      </w:r>
      <w:r>
        <w:rPr>
          <w:rFonts w:hint="eastAsia" w:ascii="仿宋_GB2312" w:hAnsi="仿宋_GB2312" w:eastAsia="仿宋_GB2312" w:cs="仿宋_GB2312"/>
          <w:i w:val="0"/>
          <w:iCs w:val="0"/>
          <w:color w:val="auto"/>
          <w:sz w:val="24"/>
          <w:highlight w:val="none"/>
        </w:rPr>
        <w:t>份:</w:t>
      </w:r>
    </w:p>
    <w:p w14:paraId="0DBE3803">
      <w:pPr>
        <w:bidi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1.报价表</w:t>
      </w:r>
    </w:p>
    <w:p w14:paraId="0AAFA6FB">
      <w:pPr>
        <w:bidi w:val="0"/>
        <w:rPr>
          <w:rFonts w:hint="eastAsia" w:ascii="仿宋_GB2312" w:hAnsi="仿宋_GB2312" w:eastAsia="仿宋_GB2312" w:cs="仿宋_GB2312"/>
          <w:color w:val="auto"/>
          <w:highlight w:val="none"/>
          <w:lang w:val="en-US" w:eastAsia="zh-CN"/>
        </w:rPr>
      </w:pPr>
      <w:r>
        <w:rPr>
          <w:rFonts w:hint="eastAsia" w:cs="仿宋_GB2312"/>
          <w:color w:val="auto"/>
          <w:highlight w:val="none"/>
          <w:lang w:val="en-US" w:eastAsia="zh-CN"/>
        </w:rPr>
        <w:t>2</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偏差表</w:t>
      </w:r>
    </w:p>
    <w:p w14:paraId="60282D46">
      <w:pPr>
        <w:bidi w:val="0"/>
        <w:rPr>
          <w:rFonts w:hint="eastAsia" w:ascii="仿宋_GB2312" w:hAnsi="仿宋_GB2312" w:eastAsia="仿宋_GB2312" w:cs="仿宋_GB2312"/>
          <w:color w:val="auto"/>
          <w:highlight w:val="none"/>
          <w:lang w:val="en-US" w:eastAsia="zh-CN"/>
        </w:rPr>
      </w:pPr>
      <w:r>
        <w:rPr>
          <w:rFonts w:hint="eastAsia" w:cs="仿宋_GB2312"/>
          <w:color w:val="auto"/>
          <w:highlight w:val="none"/>
          <w:lang w:val="en-US" w:eastAsia="zh-CN"/>
        </w:rPr>
        <w:t>4</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供应商情况一览表</w:t>
      </w:r>
    </w:p>
    <w:p w14:paraId="7107BDFA">
      <w:pPr>
        <w:bidi w:val="0"/>
        <w:rPr>
          <w:rFonts w:hint="eastAsia" w:ascii="仿宋_GB2312" w:hAnsi="仿宋_GB2312" w:eastAsia="仿宋_GB2312" w:cs="仿宋_GB2312"/>
          <w:color w:val="auto"/>
          <w:highlight w:val="none"/>
          <w:lang w:val="en-US" w:eastAsia="zh-CN"/>
        </w:rPr>
      </w:pPr>
      <w:r>
        <w:rPr>
          <w:rFonts w:hint="eastAsia" w:cs="仿宋_GB2312"/>
          <w:color w:val="auto"/>
          <w:highlight w:val="none"/>
          <w:lang w:val="en-US" w:eastAsia="zh-CN"/>
        </w:rPr>
        <w:t>5</w:t>
      </w:r>
      <w:r>
        <w:rPr>
          <w:rFonts w:hint="eastAsia" w:ascii="仿宋_GB2312" w:hAnsi="仿宋_GB2312" w:eastAsia="仿宋_GB2312" w:cs="仿宋_GB2312"/>
          <w:color w:val="auto"/>
          <w:highlight w:val="none"/>
          <w:lang w:val="en-US" w:eastAsia="zh-CN"/>
        </w:rPr>
        <w:t>.技术文件</w:t>
      </w:r>
    </w:p>
    <w:p w14:paraId="1BA3A1F0">
      <w:pPr>
        <w:bidi w:val="0"/>
        <w:rPr>
          <w:rFonts w:hint="eastAsia" w:ascii="仿宋_GB2312" w:hAnsi="仿宋_GB2312" w:eastAsia="仿宋_GB2312" w:cs="仿宋_GB2312"/>
          <w:color w:val="auto"/>
          <w:highlight w:val="none"/>
        </w:rPr>
      </w:pPr>
      <w:r>
        <w:rPr>
          <w:rFonts w:hint="eastAsia" w:cs="仿宋_GB2312"/>
          <w:color w:val="auto"/>
          <w:highlight w:val="none"/>
          <w:lang w:val="en-US" w:eastAsia="zh-CN"/>
        </w:rPr>
        <w:t>6</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rPr>
        <w:t>资格证明文件</w:t>
      </w:r>
    </w:p>
    <w:p w14:paraId="260A648B">
      <w:pPr>
        <w:bidi w:val="0"/>
        <w:rPr>
          <w:rFonts w:hint="eastAsia" w:ascii="仿宋_GB2312" w:hAnsi="仿宋_GB2312" w:eastAsia="仿宋_GB2312" w:cs="仿宋_GB2312"/>
          <w:color w:val="auto"/>
          <w:highlight w:val="none"/>
        </w:rPr>
      </w:pPr>
      <w:r>
        <w:rPr>
          <w:rFonts w:hint="eastAsia" w:cs="仿宋_GB2312"/>
          <w:color w:val="auto"/>
          <w:highlight w:val="none"/>
          <w:lang w:val="en-US" w:eastAsia="zh-CN"/>
        </w:rPr>
        <w:t>7</w:t>
      </w:r>
      <w:r>
        <w:rPr>
          <w:rFonts w:hint="eastAsia" w:ascii="仿宋_GB2312" w:hAnsi="仿宋_GB2312" w:eastAsia="仿宋_GB2312" w:cs="仿宋_GB2312"/>
          <w:color w:val="auto"/>
          <w:highlight w:val="none"/>
        </w:rPr>
        <w:t>.提交的磋商保证金，金额为</w:t>
      </w:r>
      <w:r>
        <w:rPr>
          <w:rFonts w:hint="eastAsia" w:ascii="仿宋_GB2312" w:hAnsi="仿宋_GB2312" w:eastAsia="仿宋_GB2312" w:cs="仿宋_GB2312"/>
          <w:color w:val="auto"/>
          <w:highlight w:val="none"/>
          <w:u w:val="single"/>
          <w:lang w:val="en-US" w:eastAsia="zh-CN"/>
        </w:rPr>
        <w:t xml:space="preserve"> </w:t>
      </w:r>
      <w:r>
        <w:rPr>
          <w:rFonts w:hint="eastAsia" w:cs="仿宋_GB2312"/>
          <w:color w:val="auto"/>
          <w:highlight w:val="none"/>
          <w:u w:val="single"/>
          <w:lang w:val="en-US" w:eastAsia="zh-CN"/>
        </w:rPr>
        <w:t>10000</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lang w:val="en-US" w:eastAsia="zh-CN"/>
        </w:rPr>
        <w:t>元</w:t>
      </w:r>
      <w:r>
        <w:rPr>
          <w:rFonts w:hint="eastAsia" w:ascii="仿宋_GB2312" w:hAnsi="仿宋_GB2312" w:eastAsia="仿宋_GB2312" w:cs="仿宋_GB2312"/>
          <w:color w:val="auto"/>
          <w:highlight w:val="none"/>
        </w:rPr>
        <w:t>。</w:t>
      </w:r>
    </w:p>
    <w:p w14:paraId="51D3CD5B">
      <w:pPr>
        <w:bidi w:val="0"/>
        <w:rPr>
          <w:rFonts w:hint="eastAsia" w:ascii="仿宋_GB2312" w:hAnsi="仿宋_GB2312" w:eastAsia="仿宋_GB2312" w:cs="仿宋_GB2312"/>
          <w:highlight w:val="none"/>
          <w:lang w:val="en-US" w:eastAsia="zh-CN"/>
        </w:rPr>
      </w:pPr>
      <w:r>
        <w:rPr>
          <w:rFonts w:hint="eastAsia" w:cs="仿宋_GB2312"/>
          <w:highlight w:val="none"/>
          <w:lang w:val="en-US" w:eastAsia="zh-CN"/>
        </w:rPr>
        <w:t>8</w:t>
      </w:r>
      <w:r>
        <w:rPr>
          <w:rFonts w:hint="eastAsia" w:ascii="仿宋_GB2312" w:hAnsi="仿宋_GB2312" w:eastAsia="仿宋_GB2312" w:cs="仿宋_GB2312"/>
          <w:highlight w:val="none"/>
          <w:lang w:val="en-US" w:eastAsia="zh-CN"/>
        </w:rPr>
        <w:t>.法定代表人身份证明书</w:t>
      </w:r>
      <w:r>
        <w:rPr>
          <w:rFonts w:hint="eastAsia" w:cs="仿宋_GB2312"/>
          <w:highlight w:val="none"/>
          <w:lang w:val="en-US" w:eastAsia="zh-CN"/>
        </w:rPr>
        <w:t>；</w:t>
      </w:r>
      <w:r>
        <w:rPr>
          <w:rFonts w:hint="eastAsia" w:ascii="仿宋_GB2312" w:hAnsi="仿宋_GB2312" w:eastAsia="仿宋_GB2312" w:cs="仿宋_GB2312"/>
          <w:highlight w:val="none"/>
          <w:lang w:val="en-US" w:eastAsia="zh-CN"/>
        </w:rPr>
        <w:t>法定代表人授权书</w:t>
      </w:r>
    </w:p>
    <w:p w14:paraId="77442017">
      <w:pPr>
        <w:bidi w:val="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10.磋商文件要求提供或评审计分相关的其他资料</w:t>
      </w:r>
    </w:p>
    <w:p w14:paraId="016446E9">
      <w:pPr>
        <w:bidi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据此函,签字代表宣布同意如下:</w:t>
      </w:r>
    </w:p>
    <w:p w14:paraId="17478D10">
      <w:pPr>
        <w:bidi w:val="0"/>
        <w:rPr>
          <w:rFonts w:hint="eastAsia" w:ascii="仿宋_GB2312" w:hAnsi="仿宋_GB2312" w:eastAsia="仿宋_GB2312" w:cs="仿宋_GB2312"/>
          <w:color w:val="auto"/>
          <w:highlight w:val="none"/>
          <w:u w:val="single"/>
          <w:lang w:eastAsia="zh-CN"/>
        </w:rPr>
      </w:pPr>
      <w:r>
        <w:rPr>
          <w:rFonts w:hint="eastAsia" w:ascii="仿宋_GB2312" w:hAnsi="仿宋_GB2312" w:eastAsia="仿宋_GB2312" w:cs="仿宋_GB2312"/>
          <w:color w:val="auto"/>
          <w:highlight w:val="none"/>
        </w:rPr>
        <w:t>1. 所附报价表中规定的应提供的总报价为</w:t>
      </w:r>
      <w:r>
        <w:rPr>
          <w:rFonts w:hint="eastAsia"/>
          <w:color w:val="auto"/>
          <w:highlight w:val="none"/>
          <w:u w:val="single"/>
          <w:lang w:val="en-US" w:eastAsia="zh-CN"/>
        </w:rPr>
        <w:t>大写：     （小写</w:t>
      </w:r>
      <w:r>
        <w:rPr>
          <w:rFonts w:hint="eastAsia" w:ascii="仿宋" w:hAnsi="仿宋" w:eastAsia="仿宋" w:cs="仿宋"/>
          <w:color w:val="auto"/>
          <w:sz w:val="24"/>
          <w:szCs w:val="24"/>
          <w:highlight w:val="none"/>
          <w:u w:val="single"/>
        </w:rPr>
        <w:t>￥：</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u w:val="single"/>
          <w:lang w:eastAsia="zh-CN"/>
        </w:rPr>
        <w:t>元</w:t>
      </w:r>
      <w:r>
        <w:rPr>
          <w:rFonts w:hint="eastAsia"/>
          <w:color w:val="auto"/>
          <w:highlight w:val="none"/>
          <w:u w:val="single"/>
          <w:lang w:val="en-US" w:eastAsia="zh-CN"/>
        </w:rPr>
        <w:t>/年）</w:t>
      </w:r>
      <w:r>
        <w:rPr>
          <w:rFonts w:hint="eastAsia" w:cs="仿宋_GB2312"/>
          <w:color w:val="auto"/>
          <w:highlight w:val="none"/>
          <w:u w:val="single"/>
          <w:lang w:eastAsia="zh-CN"/>
        </w:rPr>
        <w:t>。</w:t>
      </w:r>
    </w:p>
    <w:p w14:paraId="70DBE0E6">
      <w:pPr>
        <w:bidi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 我方将按磋商文件的规定履行合同责任和义务。</w:t>
      </w:r>
    </w:p>
    <w:p w14:paraId="4D299189">
      <w:pPr>
        <w:bidi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 我方已详细审查全部磋商文件。我们完全理解并同意放弃对这方面有不明及误解的权力。</w:t>
      </w:r>
    </w:p>
    <w:p w14:paraId="3DD9E4B9">
      <w:pPr>
        <w:bidi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 本磋商有效期为自磋商之日起</w:t>
      </w:r>
      <w:r>
        <w:rPr>
          <w:rFonts w:hint="eastAsia" w:ascii="仿宋_GB2312" w:hAnsi="仿宋_GB2312" w:eastAsia="仿宋_GB2312" w:cs="仿宋_GB2312"/>
          <w:color w:val="auto"/>
          <w:highlight w:val="none"/>
          <w:u w:val="single"/>
        </w:rPr>
        <w:t xml:space="preserve"> </w:t>
      </w:r>
      <w:r>
        <w:rPr>
          <w:rFonts w:hint="eastAsia" w:cs="仿宋_GB2312"/>
          <w:color w:val="auto"/>
          <w:highlight w:val="none"/>
          <w:u w:val="single"/>
          <w:lang w:val="en-US" w:eastAsia="zh-CN"/>
        </w:rPr>
        <w:t>90</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天。</w:t>
      </w:r>
    </w:p>
    <w:p w14:paraId="210309B5">
      <w:pPr>
        <w:bidi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 如果在规定的磋商时间后，我方在磋商有效期内撤回响应文件，磋商保证金不予退还。</w:t>
      </w:r>
    </w:p>
    <w:p w14:paraId="284DCBFD">
      <w:pPr>
        <w:bidi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 我方同意提供按照贵方可能要求的与其磋商有关的一切数据或资料。</w:t>
      </w:r>
    </w:p>
    <w:p w14:paraId="401F5DBA">
      <w:pPr>
        <w:bidi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7. 与本磋商有关的一切正式往来信函请寄:</w:t>
      </w:r>
    </w:p>
    <w:p w14:paraId="35D3C886">
      <w:pPr>
        <w:spacing w:line="432" w:lineRule="auto"/>
        <w:rPr>
          <w:rFonts w:hint="eastAsia" w:ascii="仿宋_GB2312" w:hAnsi="仿宋_GB2312" w:eastAsia="仿宋_GB2312" w:cs="仿宋_GB2312"/>
          <w:color w:val="auto"/>
          <w:sz w:val="24"/>
          <w:highlight w:val="none"/>
          <w:u w:val="single"/>
          <w:lang w:val="en-US" w:eastAsia="zh-CN"/>
        </w:rPr>
      </w:pPr>
      <w:r>
        <w:rPr>
          <w:rFonts w:hint="eastAsia" w:ascii="仿宋_GB2312" w:hAnsi="仿宋_GB2312" w:eastAsia="仿宋_GB2312" w:cs="仿宋_GB2312"/>
          <w:color w:val="auto"/>
          <w:sz w:val="24"/>
          <w:highlight w:val="none"/>
        </w:rPr>
        <w:t>地址</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传真</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u w:val="single"/>
          <w:lang w:val="en-US" w:eastAsia="zh-CN"/>
        </w:rPr>
        <w:t xml:space="preserve">            </w:t>
      </w:r>
    </w:p>
    <w:p w14:paraId="6539917A">
      <w:pPr>
        <w:spacing w:line="432" w:lineRule="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电话</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rPr>
        <w:t xml:space="preserve">    电子邮件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u w:val="single"/>
          <w:lang w:val="en-US" w:eastAsia="zh-CN"/>
        </w:rPr>
        <w:t xml:space="preserve">            </w:t>
      </w:r>
    </w:p>
    <w:p w14:paraId="1673FCBD">
      <w:pPr>
        <w:spacing w:line="432" w:lineRule="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供应商代表签字</w:t>
      </w:r>
      <w:r>
        <w:rPr>
          <w:rFonts w:hint="eastAsia" w:ascii="仿宋_GB2312" w:hAnsi="仿宋_GB2312" w:eastAsia="仿宋_GB2312" w:cs="仿宋_GB2312"/>
          <w:color w:val="auto"/>
          <w:sz w:val="24"/>
          <w:highlight w:val="none"/>
          <w:lang w:val="en-US" w:eastAsia="zh-CN"/>
        </w:rPr>
        <w:t>或</w:t>
      </w:r>
      <w:r>
        <w:rPr>
          <w:rFonts w:hint="eastAsia" w:cs="仿宋_GB2312"/>
          <w:color w:val="auto"/>
          <w:sz w:val="24"/>
          <w:highlight w:val="none"/>
          <w:lang w:val="en-US" w:eastAsia="zh-CN"/>
        </w:rPr>
        <w:t>盖</w:t>
      </w:r>
      <w:r>
        <w:rPr>
          <w:rFonts w:hint="eastAsia" w:ascii="仿宋_GB2312" w:hAnsi="仿宋_GB2312" w:eastAsia="仿宋_GB2312" w:cs="仿宋_GB2312"/>
          <w:color w:val="auto"/>
          <w:sz w:val="24"/>
          <w:highlight w:val="none"/>
          <w:lang w:val="en-US" w:eastAsia="zh-CN"/>
        </w:rPr>
        <w:t>手签章</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u w:val="single"/>
          <w:lang w:val="en-US" w:eastAsia="zh-CN"/>
        </w:rPr>
        <w:t xml:space="preserve">            </w:t>
      </w:r>
    </w:p>
    <w:p w14:paraId="789391C1">
      <w:pPr>
        <w:bidi w:val="0"/>
        <w:ind w:firstLine="960" w:firstLineChars="400"/>
        <w:jc w:val="both"/>
        <w:rPr>
          <w:rFonts w:hint="eastAsia" w:ascii="Times New Roman" w:hAnsi="Times New Roman" w:cs="Times New Roman"/>
          <w:color w:val="auto"/>
          <w:highlight w:val="none"/>
          <w:u w:val="single"/>
          <w:lang w:val="en-US" w:eastAsia="zh-CN"/>
        </w:rPr>
      </w:pPr>
      <w:r>
        <w:rPr>
          <w:rFonts w:hint="eastAsia" w:ascii="仿宋_GB2312" w:hAnsi="仿宋_GB2312" w:eastAsia="仿宋_GB2312" w:cs="仿宋_GB2312"/>
          <w:color w:val="auto"/>
          <w:sz w:val="24"/>
          <w:highlight w:val="none"/>
        </w:rPr>
        <w:t>供应商：</w:t>
      </w:r>
      <w:r>
        <w:rPr>
          <w:rFonts w:hint="eastAsia" w:ascii="Times New Roman" w:hAnsi="Times New Roman" w:cs="Times New Roman"/>
          <w:color w:val="auto"/>
          <w:highlight w:val="none"/>
          <w:u w:val="single"/>
          <w:lang w:val="en-US" w:eastAsia="zh-CN"/>
        </w:rPr>
        <w:t>（公章或投标专用章）</w:t>
      </w:r>
    </w:p>
    <w:p w14:paraId="1E10700C">
      <w:pPr>
        <w:spacing w:line="432" w:lineRule="auto"/>
        <w:rPr>
          <w:rFonts w:hint="eastAsia" w:ascii="仿宋_GB2312" w:hAnsi="仿宋_GB2312" w:eastAsia="仿宋_GB2312" w:cs="仿宋_GB2312"/>
          <w:color w:val="auto"/>
          <w:sz w:val="28"/>
          <w:highlight w:val="none"/>
          <w:lang w:val="en-US" w:eastAsia="zh-CN"/>
        </w:rPr>
        <w:sectPr>
          <w:footerReference r:id="rId11" w:type="default"/>
          <w:pgSz w:w="11905" w:h="16838"/>
          <w:pgMar w:top="1417" w:right="1814" w:bottom="1417" w:left="1814" w:header="850" w:footer="992" w:gutter="0"/>
          <w:pgBorders>
            <w:top w:val="none" w:sz="0" w:space="0"/>
            <w:left w:val="none" w:sz="0" w:space="0"/>
            <w:bottom w:val="none" w:sz="0" w:space="0"/>
            <w:right w:val="none" w:sz="0" w:space="0"/>
          </w:pgBorders>
          <w:pgNumType w:fmt="decimal"/>
          <w:cols w:space="0" w:num="1"/>
          <w:rtlGutter w:val="0"/>
          <w:docGrid w:type="linesAndChars" w:linePitch="333" w:charSpace="0"/>
        </w:sectPr>
      </w:pP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日期</w:t>
      </w:r>
      <w:r>
        <w:rPr>
          <w:rFonts w:hint="eastAsia" w:ascii="仿宋_GB2312" w:hAnsi="仿宋_GB2312" w:eastAsia="仿宋_GB2312" w:cs="仿宋_GB2312"/>
          <w:color w:val="auto"/>
          <w:sz w:val="28"/>
          <w:highlight w:val="none"/>
          <w:lang w:eastAsia="zh-CN"/>
        </w:rPr>
        <w:t>：</w:t>
      </w:r>
      <w:r>
        <w:rPr>
          <w:rFonts w:hint="eastAsia" w:ascii="仿宋_GB2312" w:hAnsi="仿宋_GB2312" w:eastAsia="仿宋_GB2312" w:cs="仿宋_GB2312"/>
          <w:color w:val="auto"/>
          <w:sz w:val="28"/>
          <w:highlight w:val="none"/>
          <w:lang w:val="en-US" w:eastAsia="zh-CN"/>
        </w:rPr>
        <w:t xml:space="preserve"> </w:t>
      </w:r>
      <w:r>
        <w:rPr>
          <w:rFonts w:hint="eastAsia" w:ascii="仿宋_GB2312" w:hAnsi="仿宋_GB2312" w:eastAsia="仿宋_GB2312" w:cs="仿宋_GB2312"/>
          <w:color w:val="auto"/>
          <w:sz w:val="28"/>
          <w:highlight w:val="none"/>
          <w:u w:val="single"/>
          <w:lang w:val="en-US" w:eastAsia="zh-CN"/>
        </w:rPr>
        <w:t xml:space="preserve">     </w:t>
      </w:r>
      <w:r>
        <w:rPr>
          <w:rFonts w:hint="eastAsia" w:ascii="仿宋_GB2312" w:hAnsi="仿宋_GB2312" w:eastAsia="仿宋_GB2312" w:cs="仿宋_GB2312"/>
          <w:color w:val="auto"/>
          <w:sz w:val="28"/>
          <w:highlight w:val="none"/>
          <w:lang w:val="en-US" w:eastAsia="zh-CN"/>
        </w:rPr>
        <w:t xml:space="preserve"> </w:t>
      </w:r>
    </w:p>
    <w:p w14:paraId="02968D4A">
      <w:pPr>
        <w:pStyle w:val="3"/>
        <w:numPr>
          <w:ilvl w:val="0"/>
          <w:numId w:val="0"/>
        </w:numPr>
        <w:bidi w:val="0"/>
        <w:jc w:val="center"/>
        <w:rPr>
          <w:rFonts w:hint="eastAsia" w:cs="Times New Roman"/>
          <w:highlight w:val="none"/>
        </w:rPr>
      </w:pPr>
      <w:bookmarkStart w:id="305" w:name="_Toc498611432"/>
      <w:bookmarkStart w:id="306" w:name="_Toc8416"/>
      <w:bookmarkStart w:id="307" w:name="_Toc5651"/>
      <w:bookmarkStart w:id="308" w:name="_Toc17942"/>
      <w:bookmarkStart w:id="309" w:name="_Toc5885"/>
      <w:bookmarkStart w:id="310" w:name="_Toc9773"/>
      <w:bookmarkStart w:id="311" w:name="_Toc3309"/>
      <w:bookmarkStart w:id="312" w:name="_Toc505020168"/>
      <w:bookmarkStart w:id="313" w:name="_Toc16226"/>
      <w:bookmarkStart w:id="314" w:name="_Toc22827"/>
      <w:bookmarkStart w:id="315" w:name="_Toc19722"/>
      <w:bookmarkStart w:id="316" w:name="_Toc14484"/>
      <w:bookmarkStart w:id="317" w:name="_Toc498611433"/>
      <w:bookmarkStart w:id="318" w:name="_Toc505020169"/>
      <w:r>
        <w:rPr>
          <w:rFonts w:hint="eastAsia" w:cs="Times New Roman"/>
          <w:highlight w:val="none"/>
          <w:lang w:val="en-US" w:eastAsia="zh-CN"/>
        </w:rPr>
        <w:t>格式2.1</w:t>
      </w:r>
      <w:r>
        <w:rPr>
          <w:rFonts w:hint="eastAsia" w:cs="Times New Roman"/>
          <w:highlight w:val="none"/>
        </w:rPr>
        <w:t>报价表</w:t>
      </w:r>
      <w:bookmarkEnd w:id="305"/>
      <w:bookmarkEnd w:id="306"/>
      <w:bookmarkEnd w:id="307"/>
      <w:bookmarkEnd w:id="308"/>
      <w:bookmarkEnd w:id="309"/>
      <w:bookmarkEnd w:id="310"/>
      <w:bookmarkEnd w:id="311"/>
      <w:bookmarkEnd w:id="312"/>
      <w:bookmarkEnd w:id="313"/>
      <w:bookmarkEnd w:id="314"/>
      <w:bookmarkEnd w:id="315"/>
    </w:p>
    <w:p w14:paraId="53A5D2C3">
      <w:pPr>
        <w:spacing w:line="432" w:lineRule="auto"/>
        <w:ind w:left="0" w:leftChars="0" w:firstLine="0" w:firstLineChars="0"/>
        <w:rPr>
          <w:rFonts w:hint="eastAsia" w:ascii="仿宋_GB2312" w:hAnsi="仿宋_GB2312" w:eastAsia="仿宋_GB2312" w:cs="仿宋_GB2312"/>
          <w:color w:val="auto"/>
          <w:sz w:val="24"/>
          <w:highlight w:val="none"/>
        </w:rPr>
      </w:pPr>
    </w:p>
    <w:p w14:paraId="53E962AD">
      <w:pPr>
        <w:spacing w:line="432" w:lineRule="auto"/>
        <w:ind w:left="0" w:leftChars="0" w:firstLine="0" w:firstLineChars="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供应商名称：</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 xml:space="preserve"> </w:t>
      </w:r>
    </w:p>
    <w:p w14:paraId="21E3DD1B">
      <w:pPr>
        <w:spacing w:line="432" w:lineRule="auto"/>
        <w:ind w:left="0" w:leftChars="0" w:firstLine="0" w:firstLineChars="0"/>
        <w:rPr>
          <w:rFonts w:hint="default" w:ascii="仿宋_GB2312" w:hAnsi="仿宋_GB2312" w:eastAsia="仿宋_GB2312" w:cs="仿宋_GB2312"/>
          <w:color w:val="auto"/>
          <w:sz w:val="24"/>
          <w:highlight w:val="none"/>
          <w:lang w:val="en-US"/>
        </w:rPr>
      </w:pPr>
      <w:r>
        <w:rPr>
          <w:rFonts w:hint="eastAsia" w:ascii="仿宋_GB2312" w:hAnsi="仿宋_GB2312" w:eastAsia="仿宋_GB2312" w:cs="仿宋_GB2312"/>
          <w:color w:val="auto"/>
          <w:sz w:val="24"/>
          <w:highlight w:val="none"/>
        </w:rPr>
        <w:t xml:space="preserve">项目编号： </w:t>
      </w:r>
      <w:r>
        <w:rPr>
          <w:rFonts w:hint="eastAsia" w:cs="Times New Roman"/>
          <w:color w:val="auto"/>
          <w:highlight w:val="none"/>
          <w:u w:val="single"/>
          <w:lang w:val="en-US" w:eastAsia="zh-CN"/>
        </w:rPr>
        <w:t>JXPXJG-CG-JT-2026-FW-002</w:t>
      </w:r>
    </w:p>
    <w:tbl>
      <w:tblPr>
        <w:tblStyle w:val="25"/>
        <w:tblW w:w="5250" w:type="pct"/>
        <w:tblInd w:w="-347"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1735"/>
        <w:gridCol w:w="1042"/>
        <w:gridCol w:w="1546"/>
        <w:gridCol w:w="1430"/>
        <w:gridCol w:w="803"/>
        <w:gridCol w:w="944"/>
        <w:gridCol w:w="740"/>
      </w:tblGrid>
      <w:tr w14:paraId="7C4BE5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380" w:type="pct"/>
            <w:tcBorders>
              <w:top w:val="single" w:color="auto" w:sz="8" w:space="0"/>
            </w:tcBorders>
            <w:noWrap w:val="0"/>
            <w:vAlign w:val="center"/>
          </w:tcPr>
          <w:p w14:paraId="747B8D8B">
            <w:pPr>
              <w:spacing w:line="432" w:lineRule="auto"/>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序号</w:t>
            </w:r>
          </w:p>
        </w:tc>
        <w:tc>
          <w:tcPr>
            <w:tcW w:w="973" w:type="pct"/>
            <w:tcBorders>
              <w:top w:val="single" w:color="auto" w:sz="8" w:space="0"/>
            </w:tcBorders>
            <w:noWrap w:val="0"/>
            <w:vAlign w:val="center"/>
          </w:tcPr>
          <w:p w14:paraId="4C2810BE">
            <w:pPr>
              <w:spacing w:line="432" w:lineRule="auto"/>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项目名称</w:t>
            </w:r>
          </w:p>
        </w:tc>
        <w:tc>
          <w:tcPr>
            <w:tcW w:w="584" w:type="pct"/>
            <w:tcBorders>
              <w:top w:val="single" w:color="auto" w:sz="8" w:space="0"/>
            </w:tcBorders>
            <w:noWrap w:val="0"/>
            <w:vAlign w:val="center"/>
          </w:tcPr>
          <w:p w14:paraId="06C5FB90">
            <w:pPr>
              <w:spacing w:line="432" w:lineRule="auto"/>
              <w:ind w:left="0" w:leftChars="0" w:firstLine="0" w:firstLineChars="0"/>
              <w:jc w:val="center"/>
              <w:rPr>
                <w:rFonts w:hint="default" w:ascii="仿宋_GB2312" w:hAnsi="仿宋_GB2312" w:eastAsia="仿宋_GB2312" w:cs="仿宋_GB2312"/>
                <w:color w:val="auto"/>
                <w:sz w:val="24"/>
                <w:highlight w:val="none"/>
                <w:lang w:val="en-US" w:eastAsia="zh-CN"/>
              </w:rPr>
            </w:pPr>
            <w:r>
              <w:rPr>
                <w:rFonts w:hint="eastAsia" w:cs="仿宋_GB2312"/>
                <w:color w:val="auto"/>
                <w:sz w:val="24"/>
                <w:highlight w:val="none"/>
                <w:lang w:val="en-US" w:eastAsia="zh-CN"/>
              </w:rPr>
              <w:t>服务期</w:t>
            </w:r>
          </w:p>
        </w:tc>
        <w:tc>
          <w:tcPr>
            <w:tcW w:w="867" w:type="pct"/>
            <w:tcBorders>
              <w:top w:val="single" w:color="auto" w:sz="8" w:space="0"/>
            </w:tcBorders>
            <w:noWrap w:val="0"/>
            <w:vAlign w:val="center"/>
          </w:tcPr>
          <w:p w14:paraId="644A15DB">
            <w:pPr>
              <w:spacing w:line="432" w:lineRule="auto"/>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主要服务要求</w:t>
            </w:r>
          </w:p>
        </w:tc>
        <w:tc>
          <w:tcPr>
            <w:tcW w:w="802" w:type="pct"/>
            <w:tcBorders>
              <w:top w:val="single" w:color="auto" w:sz="8" w:space="0"/>
            </w:tcBorders>
            <w:noWrap w:val="0"/>
            <w:vAlign w:val="center"/>
          </w:tcPr>
          <w:p w14:paraId="78C98985">
            <w:pPr>
              <w:spacing w:line="432" w:lineRule="auto"/>
              <w:ind w:left="0" w:leftChars="0" w:firstLine="0" w:firstLineChars="0"/>
              <w:jc w:val="center"/>
              <w:rPr>
                <w:rFonts w:hint="eastAsia" w:ascii="仿宋_GB2312" w:hAnsi="仿宋_GB2312" w:eastAsia="仿宋_GB2312" w:cs="仿宋_GB2312"/>
                <w:color w:val="auto"/>
                <w:sz w:val="24"/>
                <w:highlight w:val="none"/>
                <w:lang w:val="en-US" w:eastAsia="zh-CN"/>
              </w:rPr>
            </w:pPr>
            <w:r>
              <w:rPr>
                <w:rFonts w:hint="eastAsia" w:cs="仿宋_GB2312"/>
                <w:color w:val="auto"/>
                <w:sz w:val="24"/>
                <w:highlight w:val="none"/>
                <w:lang w:val="en-US" w:eastAsia="zh-CN"/>
              </w:rPr>
              <w:t>响应</w:t>
            </w:r>
            <w:r>
              <w:rPr>
                <w:rFonts w:hint="eastAsia" w:ascii="仿宋_GB2312" w:hAnsi="仿宋_GB2312" w:eastAsia="仿宋_GB2312" w:cs="仿宋_GB2312"/>
                <w:color w:val="auto"/>
                <w:sz w:val="24"/>
                <w:highlight w:val="none"/>
                <w:lang w:val="en-US" w:eastAsia="zh-CN"/>
              </w:rPr>
              <w:t>报价（元）</w:t>
            </w:r>
          </w:p>
        </w:tc>
        <w:tc>
          <w:tcPr>
            <w:tcW w:w="450" w:type="pct"/>
            <w:tcBorders>
              <w:top w:val="single" w:color="auto" w:sz="8" w:space="0"/>
            </w:tcBorders>
            <w:noWrap w:val="0"/>
            <w:vAlign w:val="center"/>
          </w:tcPr>
          <w:p w14:paraId="35CC8F0B">
            <w:pPr>
              <w:spacing w:line="432" w:lineRule="auto"/>
              <w:ind w:left="0" w:leftChars="0" w:firstLine="0" w:firstLineChars="0"/>
              <w:jc w:val="center"/>
              <w:rPr>
                <w:rFonts w:hint="eastAsia" w:ascii="仿宋_GB2312" w:hAnsi="仿宋_GB2312" w:eastAsia="仿宋_GB2312" w:cs="仿宋_GB2312"/>
                <w:color w:val="auto"/>
                <w:sz w:val="24"/>
                <w:highlight w:val="none"/>
              </w:rPr>
            </w:pPr>
            <w:r>
              <w:rPr>
                <w:rFonts w:hint="eastAsia"/>
                <w:color w:val="auto"/>
                <w:highlight w:val="none"/>
                <w:lang w:val="en-US" w:eastAsia="zh-CN"/>
              </w:rPr>
              <w:t>供货</w:t>
            </w:r>
            <w:r>
              <w:rPr>
                <w:rFonts w:hint="eastAsia" w:ascii="仿宋_GB2312" w:hAnsi="仿宋_GB2312" w:eastAsia="仿宋_GB2312" w:cs="仿宋_GB2312"/>
                <w:color w:val="auto"/>
                <w:sz w:val="24"/>
                <w:highlight w:val="none"/>
              </w:rPr>
              <w:t>地点</w:t>
            </w:r>
          </w:p>
        </w:tc>
        <w:tc>
          <w:tcPr>
            <w:tcW w:w="529" w:type="pct"/>
            <w:tcBorders>
              <w:top w:val="single" w:color="auto" w:sz="8" w:space="0"/>
            </w:tcBorders>
            <w:noWrap w:val="0"/>
            <w:vAlign w:val="center"/>
          </w:tcPr>
          <w:p w14:paraId="678E961B">
            <w:pPr>
              <w:spacing w:line="432" w:lineRule="auto"/>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磋商保证金</w:t>
            </w:r>
          </w:p>
        </w:tc>
        <w:tc>
          <w:tcPr>
            <w:tcW w:w="412" w:type="pct"/>
            <w:tcBorders>
              <w:top w:val="single" w:color="auto" w:sz="8" w:space="0"/>
            </w:tcBorders>
            <w:noWrap w:val="0"/>
            <w:vAlign w:val="center"/>
          </w:tcPr>
          <w:p w14:paraId="1D2B27BD">
            <w:pPr>
              <w:spacing w:line="432" w:lineRule="auto"/>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备注</w:t>
            </w:r>
          </w:p>
        </w:tc>
      </w:tr>
      <w:tr w14:paraId="54B8CB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380" w:type="pct"/>
            <w:noWrap w:val="0"/>
            <w:vAlign w:val="center"/>
          </w:tcPr>
          <w:p w14:paraId="68D4F213">
            <w:pPr>
              <w:spacing w:line="432" w:lineRule="auto"/>
              <w:ind w:left="0" w:leftChars="0" w:firstLine="0" w:firstLineChars="0"/>
              <w:jc w:val="center"/>
              <w:rPr>
                <w:rFonts w:hint="default" w:ascii="仿宋_GB2312" w:hAnsi="仿宋_GB2312" w:eastAsia="仿宋_GB2312" w:cs="仿宋_GB2312"/>
                <w:color w:val="auto"/>
                <w:sz w:val="24"/>
                <w:highlight w:val="none"/>
                <w:lang w:val="en-US" w:eastAsia="zh-CN"/>
              </w:rPr>
            </w:pPr>
            <w:r>
              <w:rPr>
                <w:rFonts w:hint="eastAsia" w:cs="仿宋_GB2312"/>
                <w:color w:val="auto"/>
                <w:sz w:val="24"/>
                <w:highlight w:val="none"/>
                <w:lang w:val="en-US" w:eastAsia="zh-CN"/>
              </w:rPr>
              <w:t>1</w:t>
            </w:r>
          </w:p>
        </w:tc>
        <w:tc>
          <w:tcPr>
            <w:tcW w:w="973" w:type="pct"/>
            <w:noWrap w:val="0"/>
            <w:vAlign w:val="center"/>
          </w:tcPr>
          <w:p w14:paraId="0E7F48E5">
            <w:pPr>
              <w:spacing w:line="432" w:lineRule="auto"/>
              <w:ind w:left="0" w:leftChars="0" w:firstLine="0" w:firstLineChars="0"/>
              <w:jc w:val="center"/>
              <w:rPr>
                <w:rFonts w:hint="eastAsia" w:ascii="仿宋_GB2312" w:hAnsi="仿宋_GB2312" w:eastAsia="仿宋_GB2312" w:cs="仿宋_GB2312"/>
                <w:color w:val="auto"/>
                <w:sz w:val="24"/>
                <w:highlight w:val="none"/>
                <w:lang w:val="en-US" w:eastAsia="zh-CN"/>
              </w:rPr>
            </w:pPr>
            <w:r>
              <w:rPr>
                <w:rFonts w:hint="eastAsia" w:cs="仿宋_GB2312"/>
                <w:color w:val="auto"/>
                <w:sz w:val="24"/>
                <w:highlight w:val="none"/>
                <w:lang w:val="en-US" w:eastAsia="zh-CN"/>
              </w:rPr>
              <w:t>江西萍乡建工集团有限公司财务系统项目</w:t>
            </w:r>
          </w:p>
        </w:tc>
        <w:tc>
          <w:tcPr>
            <w:tcW w:w="584" w:type="pct"/>
            <w:noWrap w:val="0"/>
            <w:vAlign w:val="center"/>
          </w:tcPr>
          <w:p w14:paraId="1D1AF0F3">
            <w:pPr>
              <w:spacing w:line="432" w:lineRule="auto"/>
              <w:ind w:left="0" w:leftChars="0" w:firstLine="0" w:firstLineChars="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响应采购人要求</w:t>
            </w:r>
          </w:p>
        </w:tc>
        <w:tc>
          <w:tcPr>
            <w:tcW w:w="867" w:type="pct"/>
            <w:noWrap w:val="0"/>
            <w:vAlign w:val="center"/>
          </w:tcPr>
          <w:p w14:paraId="369A1DFB">
            <w:pPr>
              <w:spacing w:line="432" w:lineRule="auto"/>
              <w:ind w:left="0" w:leftChars="0" w:firstLine="0" w:firstLineChars="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响应采购人要求</w:t>
            </w:r>
          </w:p>
        </w:tc>
        <w:tc>
          <w:tcPr>
            <w:tcW w:w="802" w:type="pct"/>
            <w:noWrap w:val="0"/>
            <w:vAlign w:val="center"/>
          </w:tcPr>
          <w:p w14:paraId="3D2D848D">
            <w:pPr>
              <w:spacing w:line="432" w:lineRule="auto"/>
              <w:ind w:left="0" w:leftChars="0" w:firstLine="0" w:firstLineChars="0"/>
              <w:jc w:val="center"/>
              <w:rPr>
                <w:rFonts w:hint="eastAsia" w:ascii="仿宋_GB2312" w:hAnsi="仿宋_GB2312" w:eastAsia="仿宋_GB2312" w:cs="仿宋_GB2312"/>
                <w:color w:val="auto"/>
                <w:sz w:val="24"/>
                <w:highlight w:val="none"/>
                <w:lang w:val="en-US" w:eastAsia="zh-CN"/>
              </w:rPr>
            </w:pPr>
          </w:p>
        </w:tc>
        <w:tc>
          <w:tcPr>
            <w:tcW w:w="450" w:type="pct"/>
            <w:noWrap w:val="0"/>
            <w:vAlign w:val="center"/>
          </w:tcPr>
          <w:p w14:paraId="57774205">
            <w:pPr>
              <w:spacing w:line="432" w:lineRule="auto"/>
              <w:ind w:left="0" w:leftChars="0" w:firstLine="0" w:firstLineChars="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响应采购人要求</w:t>
            </w:r>
          </w:p>
        </w:tc>
        <w:tc>
          <w:tcPr>
            <w:tcW w:w="529" w:type="pct"/>
            <w:noWrap w:val="0"/>
            <w:vAlign w:val="center"/>
          </w:tcPr>
          <w:p w14:paraId="2B69C126">
            <w:pPr>
              <w:spacing w:line="432" w:lineRule="auto"/>
              <w:ind w:left="0" w:leftChars="0" w:firstLine="0" w:firstLineChars="0"/>
              <w:jc w:val="center"/>
              <w:rPr>
                <w:rFonts w:hint="default" w:ascii="仿宋_GB2312" w:hAnsi="仿宋_GB2312" w:eastAsia="仿宋_GB2312" w:cs="仿宋_GB2312"/>
                <w:color w:val="auto"/>
                <w:sz w:val="24"/>
                <w:highlight w:val="none"/>
                <w:lang w:val="en-US" w:eastAsia="zh-CN"/>
              </w:rPr>
            </w:pPr>
            <w:r>
              <w:rPr>
                <w:rFonts w:hint="eastAsia" w:cs="仿宋_GB2312"/>
                <w:color w:val="auto"/>
                <w:sz w:val="24"/>
                <w:highlight w:val="none"/>
                <w:lang w:val="en-US" w:eastAsia="zh-CN"/>
              </w:rPr>
              <w:t>10000元</w:t>
            </w:r>
          </w:p>
        </w:tc>
        <w:tc>
          <w:tcPr>
            <w:tcW w:w="412" w:type="pct"/>
            <w:noWrap w:val="0"/>
            <w:vAlign w:val="center"/>
          </w:tcPr>
          <w:p w14:paraId="3B917770">
            <w:pPr>
              <w:spacing w:line="432" w:lineRule="auto"/>
              <w:ind w:left="0" w:leftChars="0" w:firstLine="0" w:firstLineChars="0"/>
              <w:jc w:val="center"/>
              <w:rPr>
                <w:rFonts w:hint="eastAsia" w:ascii="仿宋_GB2312" w:hAnsi="仿宋_GB2312" w:eastAsia="仿宋_GB2312" w:cs="仿宋_GB2312"/>
                <w:color w:val="auto"/>
                <w:sz w:val="24"/>
                <w:highlight w:val="none"/>
                <w:lang w:val="en-US" w:eastAsia="zh-CN"/>
              </w:rPr>
            </w:pPr>
          </w:p>
        </w:tc>
      </w:tr>
      <w:tr w14:paraId="0849D7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5000" w:type="pct"/>
            <w:gridSpan w:val="8"/>
            <w:tcBorders>
              <w:bottom w:val="single" w:color="auto" w:sz="8" w:space="0"/>
            </w:tcBorders>
            <w:noWrap w:val="0"/>
            <w:vAlign w:val="center"/>
          </w:tcPr>
          <w:p w14:paraId="551B6B0C">
            <w:pPr>
              <w:spacing w:beforeLines="150" w:line="432" w:lineRule="auto"/>
              <w:ind w:left="0" w:leftChars="0" w:firstLine="0" w:firstLineChars="0"/>
              <w:jc w:val="center"/>
              <w:rPr>
                <w:rFonts w:hint="default" w:cs="仿宋_GB2312"/>
                <w:color w:val="auto"/>
                <w:sz w:val="24"/>
                <w:highlight w:val="none"/>
                <w:u w:val="single"/>
                <w:lang w:val="en-US" w:eastAsia="zh-CN"/>
              </w:rPr>
            </w:pPr>
            <w:r>
              <w:rPr>
                <w:rFonts w:hint="eastAsia" w:cs="仿宋_GB2312"/>
                <w:color w:val="auto"/>
                <w:sz w:val="24"/>
                <w:szCs w:val="24"/>
                <w:highlight w:val="none"/>
                <w:lang w:val="en-US" w:eastAsia="zh-CN"/>
              </w:rPr>
              <w:t>响应报价（含税价）</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（大写）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u w:val="single"/>
              </w:rPr>
              <w:t>（小写）</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highlight w:val="none"/>
                <w:u w:val="single"/>
                <w:lang w:val="en-US" w:eastAsia="zh-CN"/>
              </w:rPr>
              <w:t xml:space="preserve">      </w:t>
            </w:r>
            <w:r>
              <w:rPr>
                <w:rFonts w:hint="eastAsia" w:cs="仿宋_GB2312"/>
                <w:color w:val="auto"/>
                <w:sz w:val="24"/>
                <w:highlight w:val="none"/>
                <w:u w:val="single"/>
                <w:lang w:val="en-US" w:eastAsia="zh-CN"/>
              </w:rPr>
              <w:t>元</w:t>
            </w:r>
            <w:r>
              <w:rPr>
                <w:rFonts w:hint="eastAsia" w:ascii="仿宋_GB2312" w:hAnsi="仿宋_GB2312" w:eastAsia="仿宋_GB2312" w:cs="仿宋_GB2312"/>
                <w:color w:val="auto"/>
                <w:sz w:val="24"/>
                <w:highlight w:val="none"/>
                <w:lang w:val="en-US" w:eastAsia="zh-CN"/>
              </w:rPr>
              <w:t xml:space="preserve">  税率：</w:t>
            </w:r>
            <w:r>
              <w:rPr>
                <w:rFonts w:hint="eastAsia" w:ascii="仿宋_GB2312" w:hAnsi="仿宋_GB2312" w:eastAsia="仿宋_GB2312" w:cs="仿宋_GB2312"/>
                <w:color w:val="auto"/>
                <w:sz w:val="24"/>
                <w:highlight w:val="none"/>
                <w:u w:val="single"/>
                <w:lang w:val="en-US" w:eastAsia="zh-CN"/>
              </w:rPr>
              <w:t xml:space="preserve">      %</w:t>
            </w:r>
          </w:p>
        </w:tc>
      </w:tr>
    </w:tbl>
    <w:p w14:paraId="68196290">
      <w:pPr>
        <w:ind w:left="0" w:leftChars="0" w:firstLine="0" w:firstLineChars="0"/>
        <w:rPr>
          <w:rFonts w:hint="eastAsia" w:ascii="仿宋_GB2312" w:hAnsi="仿宋_GB2312" w:eastAsia="仿宋_GB2312" w:cs="仿宋_GB2312"/>
          <w:color w:val="auto"/>
          <w:sz w:val="24"/>
          <w:highlight w:val="none"/>
        </w:rPr>
      </w:pPr>
      <w:r>
        <w:rPr>
          <w:rFonts w:ascii="宋体" w:hAnsi="宋体"/>
          <w:i w:val="0"/>
          <w:iCs/>
          <w:sz w:val="24"/>
        </w:rPr>
        <w:t>此报价单的总报价</w:t>
      </w:r>
      <w:r>
        <w:rPr>
          <w:rFonts w:hint="eastAsia" w:ascii="宋体" w:hAnsi="宋体"/>
          <w:i w:val="0"/>
          <w:iCs/>
          <w:sz w:val="24"/>
        </w:rPr>
        <w:t>含</w:t>
      </w:r>
      <w:r>
        <w:rPr>
          <w:rFonts w:hint="eastAsia" w:ascii="宋体" w:hAnsi="宋体"/>
          <w:i w:val="0"/>
          <w:iCs/>
          <w:sz w:val="24"/>
          <w:lang w:val="en-US" w:eastAsia="zh-CN"/>
        </w:rPr>
        <w:t>2</w:t>
      </w:r>
      <w:r>
        <w:rPr>
          <w:rFonts w:ascii="宋体" w:hAnsi="宋体"/>
          <w:i w:val="0"/>
          <w:iCs/>
          <w:sz w:val="24"/>
        </w:rPr>
        <w:t>年软件中</w:t>
      </w:r>
      <w:r>
        <w:rPr>
          <w:rFonts w:hint="eastAsia" w:ascii="宋体" w:hAnsi="宋体"/>
          <w:i w:val="0"/>
          <w:iCs/>
          <w:sz w:val="24"/>
          <w:lang w:val="en-US" w:eastAsia="zh-CN"/>
        </w:rPr>
        <w:t>私有云</w:t>
      </w:r>
      <w:r>
        <w:rPr>
          <w:rFonts w:ascii="宋体" w:hAnsi="宋体"/>
          <w:i w:val="0"/>
          <w:iCs/>
          <w:sz w:val="24"/>
        </w:rPr>
        <w:t>软件</w:t>
      </w:r>
      <w:r>
        <w:rPr>
          <w:rFonts w:hint="eastAsia" w:ascii="宋体" w:hAnsi="宋体"/>
          <w:i w:val="0"/>
          <w:iCs/>
          <w:sz w:val="24"/>
          <w:lang w:val="en-US" w:eastAsia="zh-CN"/>
        </w:rPr>
        <w:t>订阅</w:t>
      </w:r>
      <w:r>
        <w:rPr>
          <w:rFonts w:ascii="宋体" w:hAnsi="宋体"/>
          <w:i w:val="0"/>
          <w:iCs/>
          <w:sz w:val="24"/>
        </w:rPr>
        <w:t>费</w:t>
      </w:r>
      <w:r>
        <w:rPr>
          <w:rFonts w:hint="eastAsia" w:ascii="宋体" w:hAnsi="宋体"/>
          <w:i w:val="0"/>
          <w:iCs/>
          <w:sz w:val="24"/>
          <w:lang w:eastAsia="zh-CN"/>
        </w:rPr>
        <w:t>（租赁费），含</w:t>
      </w:r>
      <w:r>
        <w:rPr>
          <w:rFonts w:hint="eastAsia" w:ascii="宋体" w:hAnsi="宋体"/>
          <w:i w:val="0"/>
          <w:iCs/>
          <w:sz w:val="24"/>
          <w:lang w:val="en-US" w:eastAsia="zh-CN"/>
        </w:rPr>
        <w:t>维护费</w:t>
      </w:r>
      <w:r>
        <w:rPr>
          <w:rFonts w:ascii="宋体" w:hAnsi="宋体"/>
          <w:i w:val="0"/>
          <w:iCs/>
          <w:sz w:val="24"/>
        </w:rPr>
        <w:t>。</w:t>
      </w:r>
    </w:p>
    <w:p w14:paraId="72328251">
      <w:pPr>
        <w:spacing w:line="432" w:lineRule="auto"/>
        <w:ind w:left="0" w:leftChars="0" w:firstLine="0" w:firstLineChars="0"/>
        <w:rPr>
          <w:rFonts w:hint="eastAsia" w:ascii="宋体" w:hAnsi="宋体" w:eastAsia="宋体" w:cs="宋体"/>
          <w:color w:val="auto"/>
          <w:sz w:val="24"/>
        </w:rPr>
      </w:pPr>
      <w:r>
        <w:rPr>
          <w:rFonts w:hint="eastAsia" w:ascii="仿宋_GB2312" w:hAnsi="仿宋_GB2312" w:eastAsia="仿宋_GB2312" w:cs="仿宋_GB2312"/>
          <w:color w:val="auto"/>
          <w:sz w:val="24"/>
          <w:highlight w:val="none"/>
        </w:rPr>
        <w:t>注：供应商所报的价格不得超过</w:t>
      </w:r>
      <w:r>
        <w:rPr>
          <w:rFonts w:hint="eastAsia" w:ascii="仿宋_GB2312" w:hAnsi="仿宋_GB2312" w:eastAsia="仿宋_GB2312" w:cs="仿宋_GB2312"/>
          <w:color w:val="auto"/>
          <w:sz w:val="24"/>
          <w:highlight w:val="none"/>
          <w:lang w:val="en-US" w:eastAsia="zh-CN"/>
        </w:rPr>
        <w:t>控制价</w:t>
      </w:r>
      <w:r>
        <w:rPr>
          <w:rFonts w:hint="eastAsia" w:ascii="仿宋_GB2312" w:hAnsi="仿宋_GB2312" w:eastAsia="仿宋_GB2312" w:cs="仿宋_GB2312"/>
          <w:color w:val="auto"/>
          <w:sz w:val="24"/>
          <w:highlight w:val="none"/>
        </w:rPr>
        <w:t>，否则按无效响应处理。</w:t>
      </w:r>
    </w:p>
    <w:p w14:paraId="1EDBBD21">
      <w:pPr>
        <w:spacing w:line="432" w:lineRule="auto"/>
        <w:ind w:left="0" w:leftChars="0" w:firstLine="0" w:firstLineChars="0"/>
        <w:rPr>
          <w:rFonts w:hint="eastAsia" w:ascii="仿宋_GB2312" w:hAnsi="仿宋_GB2312" w:eastAsia="仿宋_GB2312" w:cs="仿宋_GB2312"/>
          <w:i/>
          <w:color w:val="auto"/>
          <w:sz w:val="24"/>
          <w:highlight w:val="none"/>
        </w:rPr>
      </w:pPr>
    </w:p>
    <w:p w14:paraId="228E7F4C">
      <w:pPr>
        <w:spacing w:line="432" w:lineRule="auto"/>
        <w:ind w:left="0" w:leftChars="0" w:firstLine="0" w:firstLineChars="0"/>
        <w:rPr>
          <w:rFonts w:hint="eastAsia" w:ascii="仿宋_GB2312" w:hAnsi="仿宋_GB2312" w:eastAsia="仿宋_GB2312" w:cs="仿宋_GB2312"/>
          <w:i/>
          <w:color w:val="auto"/>
          <w:sz w:val="24"/>
          <w:highlight w:val="none"/>
        </w:rPr>
      </w:pPr>
    </w:p>
    <w:p w14:paraId="43CE094E">
      <w:pPr>
        <w:spacing w:line="432" w:lineRule="auto"/>
        <w:ind w:left="0" w:leftChars="0" w:firstLine="0" w:firstLineChars="0"/>
        <w:rPr>
          <w:rFonts w:hint="eastAsia" w:ascii="仿宋_GB2312" w:hAnsi="仿宋_GB2312" w:eastAsia="仿宋_GB2312" w:cs="仿宋_GB2312"/>
          <w:i/>
          <w:color w:val="auto"/>
          <w:sz w:val="24"/>
          <w:highlight w:val="none"/>
        </w:rPr>
      </w:pPr>
    </w:p>
    <w:p w14:paraId="2DBDF2F6">
      <w:pPr>
        <w:bidi w:val="0"/>
        <w:ind w:firstLine="960" w:firstLineChars="400"/>
        <w:jc w:val="both"/>
        <w:rPr>
          <w:rFonts w:hint="eastAsia" w:ascii="Times New Roman" w:hAnsi="Times New Roman" w:cs="Times New Roman"/>
          <w:color w:val="auto"/>
          <w:highlight w:val="none"/>
          <w:u w:val="single"/>
          <w:lang w:val="en-US" w:eastAsia="zh-CN"/>
        </w:rPr>
      </w:pPr>
      <w:r>
        <w:rPr>
          <w:rFonts w:hint="eastAsia" w:ascii="仿宋_GB2312" w:hAnsi="仿宋_GB2312" w:eastAsia="仿宋_GB2312" w:cs="仿宋_GB2312"/>
          <w:color w:val="auto"/>
          <w:sz w:val="24"/>
          <w:highlight w:val="none"/>
        </w:rPr>
        <w:t>供应商：</w:t>
      </w:r>
      <w:r>
        <w:rPr>
          <w:rFonts w:hint="eastAsia" w:ascii="仿宋_GB2312" w:hAnsi="仿宋_GB2312" w:eastAsia="仿宋_GB2312" w:cs="仿宋_GB2312"/>
          <w:color w:val="auto"/>
          <w:sz w:val="24"/>
          <w:highlight w:val="none"/>
          <w:u w:val="single"/>
          <w:lang w:val="en-US" w:eastAsia="zh-CN"/>
        </w:rPr>
        <w:t xml:space="preserve">   </w:t>
      </w:r>
      <w:r>
        <w:rPr>
          <w:rFonts w:hint="eastAsia" w:ascii="Times New Roman" w:hAnsi="Times New Roman" w:cs="Times New Roman"/>
          <w:color w:val="auto"/>
          <w:highlight w:val="none"/>
          <w:u w:val="single"/>
          <w:lang w:val="en-US" w:eastAsia="zh-CN"/>
        </w:rPr>
        <w:t>（公章或投标专用章）</w:t>
      </w:r>
    </w:p>
    <w:p w14:paraId="13789CF4">
      <w:pPr>
        <w:spacing w:line="432" w:lineRule="auto"/>
        <w:rPr>
          <w:rFonts w:hint="eastAsia" w:ascii="仿宋_GB2312" w:hAnsi="仿宋_GB2312" w:eastAsia="仿宋_GB2312" w:cs="仿宋_GB2312"/>
          <w:color w:val="auto"/>
          <w:sz w:val="24"/>
          <w:highlight w:val="none"/>
          <w:u w:val="single"/>
          <w:lang w:val="en-US" w:eastAsia="zh-CN"/>
        </w:rPr>
      </w:pPr>
      <w:r>
        <w:rPr>
          <w:rFonts w:hint="eastAsia" w:ascii="仿宋_GB2312" w:hAnsi="仿宋_GB2312" w:eastAsia="仿宋_GB2312" w:cs="仿宋_GB2312"/>
          <w:color w:val="auto"/>
          <w:sz w:val="24"/>
          <w:highlight w:val="none"/>
          <w:u w:val="single"/>
          <w:lang w:val="en-US" w:eastAsia="zh-CN"/>
        </w:rPr>
        <w:t xml:space="preserve"> </w:t>
      </w:r>
    </w:p>
    <w:p w14:paraId="1A56B17A">
      <w:pPr>
        <w:spacing w:line="432" w:lineRule="auto"/>
        <w:rPr>
          <w:rFonts w:hint="eastAsia" w:ascii="仿宋_GB2312" w:hAnsi="仿宋_GB2312" w:eastAsia="仿宋_GB2312" w:cs="仿宋_GB2312"/>
          <w:color w:val="auto"/>
          <w:sz w:val="24"/>
          <w:highlight w:val="none"/>
          <w:u w:val="single"/>
          <w:lang w:val="en-US" w:eastAsia="zh-CN"/>
        </w:rPr>
      </w:pPr>
    </w:p>
    <w:p w14:paraId="5AB309D2">
      <w:pPr>
        <w:spacing w:line="432" w:lineRule="auto"/>
        <w:rPr>
          <w:rFonts w:hint="eastAsia" w:ascii="仿宋_GB2312" w:hAnsi="仿宋_GB2312" w:eastAsia="仿宋_GB2312" w:cs="仿宋_GB2312"/>
          <w:color w:val="auto"/>
          <w:sz w:val="24"/>
          <w:highlight w:val="none"/>
          <w:u w:val="single"/>
          <w:lang w:val="en-US" w:eastAsia="zh-CN"/>
        </w:rPr>
      </w:pPr>
    </w:p>
    <w:p w14:paraId="7D89EFA5">
      <w:pPr>
        <w:spacing w:line="432" w:lineRule="auto"/>
        <w:ind w:left="0" w:leftChars="0" w:firstLine="0" w:firstLineChars="0"/>
        <w:rPr>
          <w:rFonts w:hint="eastAsia" w:ascii="仿宋_GB2312" w:hAnsi="仿宋_GB2312" w:eastAsia="仿宋_GB2312" w:cs="仿宋_GB2312"/>
          <w:color w:val="auto"/>
          <w:sz w:val="24"/>
          <w:highlight w:val="none"/>
          <w:u w:val="single"/>
          <w:lang w:val="en-US" w:eastAsia="zh-CN"/>
        </w:rPr>
      </w:pPr>
    </w:p>
    <w:p w14:paraId="081E812F">
      <w:pPr>
        <w:pStyle w:val="3"/>
        <w:numPr>
          <w:ilvl w:val="0"/>
          <w:numId w:val="0"/>
        </w:numPr>
        <w:bidi w:val="0"/>
        <w:jc w:val="center"/>
        <w:rPr>
          <w:rFonts w:hint="eastAsia" w:cs="Times New Roman"/>
          <w:highlight w:val="none"/>
          <w:lang w:val="en-US" w:eastAsia="zh-CN"/>
        </w:rPr>
      </w:pPr>
      <w:bookmarkStart w:id="319" w:name="_Toc16856"/>
      <w:bookmarkStart w:id="320" w:name="_Toc23836"/>
      <w:bookmarkStart w:id="321" w:name="_Toc241297283"/>
      <w:bookmarkStart w:id="322" w:name="_Toc2792"/>
      <w:bookmarkStart w:id="323" w:name="_Toc513492498"/>
      <w:bookmarkStart w:id="324" w:name="_Toc9341"/>
      <w:bookmarkStart w:id="325" w:name="_Toc11261"/>
      <w:bookmarkStart w:id="326" w:name="_Toc20624"/>
      <w:bookmarkStart w:id="327" w:name="_Toc19808"/>
      <w:bookmarkStart w:id="328" w:name="_Toc260"/>
    </w:p>
    <w:p w14:paraId="38E22ACC">
      <w:pPr>
        <w:pStyle w:val="3"/>
        <w:numPr>
          <w:ilvl w:val="0"/>
          <w:numId w:val="0"/>
        </w:numPr>
        <w:bidi w:val="0"/>
        <w:jc w:val="center"/>
        <w:rPr>
          <w:rFonts w:hint="eastAsia" w:cs="Times New Roman"/>
          <w:highlight w:val="none"/>
          <w:lang w:val="en-US" w:eastAsia="zh-CN"/>
        </w:rPr>
      </w:pPr>
    </w:p>
    <w:p w14:paraId="397FC4B8">
      <w:pPr>
        <w:pStyle w:val="3"/>
        <w:numPr>
          <w:ilvl w:val="0"/>
          <w:numId w:val="0"/>
        </w:numPr>
        <w:bidi w:val="0"/>
        <w:jc w:val="center"/>
        <w:rPr>
          <w:rFonts w:hint="eastAsia" w:cs="Times New Roman"/>
          <w:highlight w:val="none"/>
          <w:lang w:val="en-US" w:eastAsia="zh-CN"/>
        </w:rPr>
      </w:pPr>
      <w:r>
        <w:rPr>
          <w:rFonts w:hint="eastAsia" w:cs="Times New Roman"/>
          <w:highlight w:val="none"/>
          <w:lang w:val="en-US" w:eastAsia="zh-CN"/>
        </w:rPr>
        <w:t>格式2.2投标分项报价表</w:t>
      </w:r>
      <w:bookmarkEnd w:id="319"/>
      <w:bookmarkEnd w:id="320"/>
      <w:bookmarkEnd w:id="321"/>
      <w:bookmarkEnd w:id="322"/>
      <w:bookmarkEnd w:id="323"/>
      <w:bookmarkEnd w:id="324"/>
      <w:bookmarkEnd w:id="325"/>
      <w:bookmarkEnd w:id="326"/>
      <w:bookmarkEnd w:id="327"/>
      <w:bookmarkEnd w:id="328"/>
    </w:p>
    <w:p w14:paraId="178D5CE7">
      <w:pPr>
        <w:rPr>
          <w:rFonts w:hint="eastAsia"/>
          <w:lang w:val="en-US" w:eastAsia="zh-CN"/>
        </w:rPr>
      </w:pPr>
    </w:p>
    <w:p w14:paraId="64C75A97">
      <w:pPr>
        <w:spacing w:line="440" w:lineRule="exact"/>
        <w:ind w:left="7" w:leftChars="-1" w:hanging="9" w:hangingChars="4"/>
        <w:rPr>
          <w:rFonts w:ascii="宋体" w:hAnsi="宋体"/>
          <w:sz w:val="24"/>
        </w:rPr>
      </w:pPr>
      <w:r>
        <w:rPr>
          <w:rFonts w:hint="eastAsia" w:ascii="宋体" w:hAnsi="宋体"/>
          <w:sz w:val="24"/>
          <w:lang w:eastAsia="zh-CN"/>
        </w:rPr>
        <w:t>供应商</w:t>
      </w:r>
      <w:r>
        <w:rPr>
          <w:rFonts w:hint="eastAsia" w:ascii="宋体" w:hAnsi="宋体"/>
          <w:sz w:val="24"/>
        </w:rPr>
        <w:t>名称：</w:t>
      </w:r>
      <w:r>
        <w:rPr>
          <w:rFonts w:ascii="宋体" w:hAnsi="宋体"/>
          <w:sz w:val="24"/>
          <w:u w:val="single"/>
        </w:rPr>
        <w:t xml:space="preserve">                          </w:t>
      </w:r>
      <w:r>
        <w:rPr>
          <w:rFonts w:ascii="宋体" w:hAnsi="宋体"/>
          <w:sz w:val="24"/>
        </w:rPr>
        <w:t xml:space="preserve"> </w:t>
      </w:r>
    </w:p>
    <w:tbl>
      <w:tblPr>
        <w:tblStyle w:val="40"/>
        <w:tblW w:w="884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2601"/>
        <w:gridCol w:w="2450"/>
        <w:gridCol w:w="1450"/>
        <w:gridCol w:w="1065"/>
        <w:gridCol w:w="1281"/>
      </w:tblGrid>
      <w:tr w14:paraId="10AA5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blHeader/>
          <w:jc w:val="center"/>
        </w:trPr>
        <w:tc>
          <w:tcPr>
            <w:tcW w:w="2601" w:type="dxa"/>
            <w:tcBorders>
              <w:top w:val="single" w:color="auto" w:sz="12" w:space="0"/>
              <w:left w:val="single" w:color="auto" w:sz="12" w:space="0"/>
              <w:bottom w:val="single" w:color="auto" w:sz="4" w:space="0"/>
              <w:right w:val="single" w:color="auto" w:sz="4" w:space="0"/>
            </w:tcBorders>
            <w:shd w:val="clear" w:color="auto" w:fill="EBF0F1"/>
            <w:vAlign w:val="center"/>
          </w:tcPr>
          <w:p w14:paraId="7B41EB99">
            <w:pPr>
              <w:pStyle w:val="41"/>
              <w:snapToGrid w:val="0"/>
              <w:spacing w:line="240" w:lineRule="auto"/>
              <w:ind w:left="0" w:leftChars="0" w:right="0" w:rightChars="0" w:firstLine="0" w:firstLineChars="0"/>
              <w:jc w:val="center"/>
              <w:rPr>
                <w:rFonts w:hint="eastAsia" w:ascii="仿宋_GB2312" w:eastAsia="仿宋_GB2312"/>
                <w:b/>
                <w:sz w:val="21"/>
              </w:rPr>
            </w:pPr>
            <w:r>
              <w:rPr>
                <w:rFonts w:ascii="仿宋_GB2312" w:eastAsia="仿宋_GB2312"/>
                <w:b/>
                <w:spacing w:val="-3"/>
                <w:sz w:val="21"/>
              </w:rPr>
              <w:t>分组名称</w:t>
            </w:r>
          </w:p>
        </w:tc>
        <w:tc>
          <w:tcPr>
            <w:tcW w:w="2450" w:type="dxa"/>
            <w:tcBorders>
              <w:top w:val="single" w:color="auto" w:sz="12" w:space="0"/>
              <w:left w:val="single" w:color="auto" w:sz="4" w:space="0"/>
              <w:bottom w:val="single" w:color="auto" w:sz="4" w:space="0"/>
              <w:right w:val="single" w:color="auto" w:sz="4" w:space="0"/>
            </w:tcBorders>
            <w:shd w:val="clear" w:color="auto" w:fill="EBF0F1"/>
            <w:vAlign w:val="center"/>
          </w:tcPr>
          <w:p w14:paraId="561D2734">
            <w:pPr>
              <w:pStyle w:val="41"/>
              <w:snapToGrid w:val="0"/>
              <w:spacing w:line="240" w:lineRule="auto"/>
              <w:ind w:left="0" w:leftChars="0" w:right="0" w:rightChars="0" w:firstLine="0" w:firstLineChars="0"/>
              <w:jc w:val="center"/>
              <w:rPr>
                <w:rFonts w:hint="eastAsia" w:ascii="仿宋_GB2312" w:eastAsia="仿宋_GB2312"/>
                <w:b/>
                <w:sz w:val="21"/>
              </w:rPr>
            </w:pPr>
            <w:r>
              <w:rPr>
                <w:rFonts w:ascii="仿宋_GB2312" w:eastAsia="仿宋_GB2312"/>
                <w:b/>
                <w:spacing w:val="-5"/>
                <w:sz w:val="21"/>
              </w:rPr>
              <w:t>模块</w:t>
            </w:r>
          </w:p>
        </w:tc>
        <w:tc>
          <w:tcPr>
            <w:tcW w:w="1450" w:type="dxa"/>
            <w:tcBorders>
              <w:top w:val="single" w:color="auto" w:sz="12" w:space="0"/>
              <w:left w:val="single" w:color="auto" w:sz="4" w:space="0"/>
              <w:bottom w:val="single" w:color="auto" w:sz="4" w:space="0"/>
              <w:right w:val="single" w:color="auto" w:sz="4" w:space="0"/>
            </w:tcBorders>
            <w:shd w:val="clear" w:color="auto" w:fill="EBF0F1"/>
            <w:vAlign w:val="center"/>
          </w:tcPr>
          <w:p w14:paraId="1CCBE96A">
            <w:pPr>
              <w:pStyle w:val="41"/>
              <w:snapToGrid w:val="0"/>
              <w:spacing w:line="240" w:lineRule="auto"/>
              <w:ind w:left="0" w:leftChars="0" w:right="0" w:rightChars="0" w:firstLine="0" w:firstLineChars="0"/>
              <w:jc w:val="center"/>
              <w:rPr>
                <w:rFonts w:hint="eastAsia" w:ascii="仿宋_GB2312" w:eastAsia="仿宋_GB2312"/>
                <w:b/>
                <w:sz w:val="21"/>
              </w:rPr>
            </w:pPr>
            <w:r>
              <w:rPr>
                <w:rFonts w:ascii="仿宋_GB2312" w:eastAsia="仿宋_GB2312"/>
                <w:b/>
                <w:spacing w:val="-5"/>
                <w:sz w:val="21"/>
              </w:rPr>
              <w:t>用户</w:t>
            </w:r>
          </w:p>
        </w:tc>
        <w:tc>
          <w:tcPr>
            <w:tcW w:w="1065" w:type="dxa"/>
            <w:tcBorders>
              <w:top w:val="single" w:color="auto" w:sz="12" w:space="0"/>
              <w:left w:val="single" w:color="auto" w:sz="4" w:space="0"/>
              <w:bottom w:val="single" w:color="auto" w:sz="4" w:space="0"/>
              <w:right w:val="single" w:color="auto" w:sz="4" w:space="0"/>
            </w:tcBorders>
            <w:shd w:val="clear" w:color="auto" w:fill="EBF0F1"/>
            <w:vAlign w:val="center"/>
          </w:tcPr>
          <w:p w14:paraId="5CA445B2">
            <w:pPr>
              <w:pStyle w:val="41"/>
              <w:snapToGrid w:val="0"/>
              <w:spacing w:line="240" w:lineRule="auto"/>
              <w:ind w:left="0" w:leftChars="0" w:right="0" w:rightChars="0" w:firstLine="0" w:firstLineChars="0"/>
              <w:jc w:val="center"/>
              <w:rPr>
                <w:rFonts w:hint="eastAsia" w:ascii="仿宋_GB2312" w:eastAsia="仿宋_GB2312"/>
                <w:b/>
                <w:spacing w:val="-5"/>
                <w:sz w:val="21"/>
                <w:lang w:val="en-US" w:eastAsia="zh-CN"/>
              </w:rPr>
            </w:pPr>
            <w:r>
              <w:rPr>
                <w:rFonts w:hint="eastAsia" w:ascii="仿宋_GB2312" w:eastAsia="仿宋_GB2312"/>
                <w:b/>
                <w:spacing w:val="-5"/>
                <w:sz w:val="21"/>
                <w:lang w:val="en-US" w:eastAsia="zh-CN"/>
              </w:rPr>
              <w:t>用户单价</w:t>
            </w:r>
          </w:p>
        </w:tc>
        <w:tc>
          <w:tcPr>
            <w:tcW w:w="1281" w:type="dxa"/>
            <w:tcBorders>
              <w:top w:val="single" w:color="auto" w:sz="12" w:space="0"/>
              <w:left w:val="single" w:color="auto" w:sz="4" w:space="0"/>
              <w:bottom w:val="single" w:color="auto" w:sz="4" w:space="0"/>
              <w:right w:val="single" w:color="auto" w:sz="12" w:space="0"/>
            </w:tcBorders>
            <w:shd w:val="clear" w:color="auto" w:fill="EBF0F1"/>
            <w:vAlign w:val="center"/>
          </w:tcPr>
          <w:p w14:paraId="73CDBBE2">
            <w:pPr>
              <w:pStyle w:val="41"/>
              <w:snapToGrid w:val="0"/>
              <w:spacing w:line="240" w:lineRule="auto"/>
              <w:ind w:left="0" w:leftChars="0" w:right="0" w:rightChars="0" w:firstLine="0" w:firstLineChars="0"/>
              <w:jc w:val="center"/>
              <w:rPr>
                <w:rFonts w:hint="default" w:ascii="仿宋_GB2312" w:eastAsia="仿宋_GB2312"/>
                <w:b/>
                <w:spacing w:val="-5"/>
                <w:sz w:val="21"/>
                <w:lang w:val="en-US" w:eastAsia="zh-CN"/>
              </w:rPr>
            </w:pPr>
            <w:r>
              <w:rPr>
                <w:rFonts w:hint="eastAsia" w:ascii="仿宋_GB2312" w:eastAsia="仿宋_GB2312"/>
                <w:b/>
                <w:spacing w:val="-5"/>
                <w:sz w:val="21"/>
                <w:lang w:val="en-US" w:eastAsia="zh-CN"/>
              </w:rPr>
              <w:t>小计（万元）</w:t>
            </w:r>
          </w:p>
        </w:tc>
      </w:tr>
      <w:tr w14:paraId="58508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01" w:type="dxa"/>
            <w:vMerge w:val="restart"/>
            <w:tcBorders>
              <w:top w:val="single" w:color="auto" w:sz="4" w:space="0"/>
              <w:left w:val="single" w:color="auto" w:sz="12" w:space="0"/>
              <w:bottom w:val="single" w:color="auto" w:sz="4" w:space="0"/>
              <w:right w:val="single" w:color="auto" w:sz="4" w:space="0"/>
            </w:tcBorders>
            <w:vAlign w:val="center"/>
          </w:tcPr>
          <w:p w14:paraId="35C4FFA8">
            <w:pPr>
              <w:pStyle w:val="41"/>
              <w:snapToGrid w:val="0"/>
              <w:spacing w:before="0" w:line="240" w:lineRule="auto"/>
              <w:ind w:left="0" w:leftChars="0" w:right="0" w:rightChars="0" w:firstLine="0" w:firstLineChars="0"/>
              <w:jc w:val="center"/>
              <w:rPr>
                <w:rFonts w:hint="default" w:ascii="仿宋_GB2312" w:eastAsia="仿宋_GB2312"/>
                <w:spacing w:val="-1"/>
                <w:sz w:val="21"/>
                <w:lang w:val="en-US" w:eastAsia="zh-CN"/>
              </w:rPr>
            </w:pPr>
            <w:r>
              <w:rPr>
                <w:rFonts w:hint="eastAsia" w:ascii="仿宋_GB2312" w:eastAsia="仿宋_GB2312"/>
                <w:spacing w:val="-1"/>
                <w:sz w:val="21"/>
                <w:lang w:val="en-US" w:eastAsia="zh-CN"/>
              </w:rPr>
              <w:t>费用报销</w:t>
            </w:r>
          </w:p>
        </w:tc>
        <w:tc>
          <w:tcPr>
            <w:tcW w:w="2450" w:type="dxa"/>
            <w:tcBorders>
              <w:top w:val="single" w:color="auto" w:sz="4" w:space="0"/>
              <w:left w:val="single" w:color="auto" w:sz="4" w:space="0"/>
              <w:bottom w:val="single" w:color="auto" w:sz="4" w:space="0"/>
              <w:right w:val="single" w:color="auto" w:sz="4" w:space="0"/>
            </w:tcBorders>
            <w:vAlign w:val="center"/>
          </w:tcPr>
          <w:p w14:paraId="7F110EA2">
            <w:pPr>
              <w:pStyle w:val="41"/>
              <w:snapToGrid w:val="0"/>
              <w:spacing w:before="87" w:line="240" w:lineRule="auto"/>
              <w:ind w:left="0" w:leftChars="0" w:right="0" w:rightChars="0" w:firstLine="0" w:firstLineChars="0"/>
              <w:jc w:val="center"/>
              <w:rPr>
                <w:rFonts w:hint="eastAsia" w:ascii="仿宋_GB2312" w:eastAsia="仿宋_GB2312"/>
                <w:spacing w:val="-5"/>
                <w:sz w:val="21"/>
                <w:lang w:val="en-US" w:eastAsia="zh-CN"/>
              </w:rPr>
            </w:pPr>
            <w:r>
              <w:rPr>
                <w:rFonts w:hint="eastAsia" w:ascii="仿宋_GB2312" w:eastAsia="仿宋_GB2312"/>
                <w:spacing w:val="-5"/>
                <w:sz w:val="21"/>
                <w:lang w:val="en-US" w:eastAsia="zh-CN"/>
              </w:rPr>
              <w:t>差旅费用报销</w:t>
            </w:r>
          </w:p>
        </w:tc>
        <w:tc>
          <w:tcPr>
            <w:tcW w:w="1450" w:type="dxa"/>
            <w:vMerge w:val="restart"/>
            <w:tcBorders>
              <w:top w:val="single" w:color="auto" w:sz="4" w:space="0"/>
              <w:left w:val="single" w:color="auto" w:sz="4" w:space="0"/>
              <w:bottom w:val="single" w:color="auto" w:sz="4" w:space="0"/>
              <w:right w:val="single" w:color="auto" w:sz="4" w:space="0"/>
            </w:tcBorders>
            <w:vAlign w:val="center"/>
          </w:tcPr>
          <w:p w14:paraId="3C7B2DFA">
            <w:pPr>
              <w:pStyle w:val="41"/>
              <w:snapToGrid w:val="0"/>
              <w:spacing w:before="0" w:line="240" w:lineRule="auto"/>
              <w:ind w:left="0" w:leftChars="0" w:right="0" w:rightChars="0" w:firstLine="0" w:firstLineChars="0"/>
              <w:jc w:val="center"/>
              <w:rPr>
                <w:rFonts w:hint="default" w:ascii="仿宋_GB2312" w:eastAsia="仿宋_GB2312"/>
                <w:spacing w:val="-5"/>
                <w:sz w:val="21"/>
                <w:lang w:val="en-US" w:eastAsia="zh-CN"/>
              </w:rPr>
            </w:pPr>
            <w:r>
              <w:rPr>
                <w:rFonts w:hint="eastAsia" w:ascii="仿宋_GB2312" w:eastAsia="仿宋_GB2312"/>
                <w:spacing w:val="-5"/>
                <w:sz w:val="21"/>
                <w:lang w:val="en-US" w:eastAsia="zh-CN"/>
              </w:rPr>
              <w:t>1000</w:t>
            </w:r>
          </w:p>
        </w:tc>
        <w:tc>
          <w:tcPr>
            <w:tcW w:w="1065" w:type="dxa"/>
            <w:vMerge w:val="restart"/>
            <w:tcBorders>
              <w:top w:val="single" w:color="auto" w:sz="4" w:space="0"/>
              <w:left w:val="single" w:color="auto" w:sz="4" w:space="0"/>
              <w:bottom w:val="single" w:color="auto" w:sz="4" w:space="0"/>
              <w:right w:val="single" w:color="auto" w:sz="4" w:space="0"/>
            </w:tcBorders>
            <w:vAlign w:val="center"/>
          </w:tcPr>
          <w:p w14:paraId="745BDD70">
            <w:pPr>
              <w:pStyle w:val="41"/>
              <w:snapToGrid w:val="0"/>
              <w:spacing w:before="0" w:line="240" w:lineRule="auto"/>
              <w:ind w:left="0" w:leftChars="0" w:right="0" w:rightChars="0" w:firstLine="0" w:firstLineChars="0"/>
              <w:jc w:val="both"/>
              <w:rPr>
                <w:rFonts w:hint="eastAsia" w:ascii="仿宋_GB2312" w:eastAsia="仿宋_GB2312"/>
                <w:spacing w:val="-5"/>
                <w:sz w:val="21"/>
                <w:lang w:val="en-US" w:eastAsia="zh-CN"/>
              </w:rPr>
            </w:pPr>
          </w:p>
        </w:tc>
        <w:tc>
          <w:tcPr>
            <w:tcW w:w="1281" w:type="dxa"/>
            <w:vMerge w:val="restart"/>
            <w:tcBorders>
              <w:top w:val="single" w:color="auto" w:sz="4" w:space="0"/>
              <w:left w:val="single" w:color="auto" w:sz="4" w:space="0"/>
              <w:bottom w:val="single" w:color="auto" w:sz="4" w:space="0"/>
              <w:right w:val="single" w:color="auto" w:sz="12" w:space="0"/>
            </w:tcBorders>
            <w:vAlign w:val="center"/>
          </w:tcPr>
          <w:p w14:paraId="524464C2">
            <w:pPr>
              <w:pStyle w:val="41"/>
              <w:snapToGrid w:val="0"/>
              <w:spacing w:before="0" w:line="240" w:lineRule="auto"/>
              <w:ind w:left="0" w:leftChars="0" w:right="0" w:rightChars="0" w:firstLine="0" w:firstLineChars="0"/>
              <w:jc w:val="both"/>
              <w:rPr>
                <w:rFonts w:hint="eastAsia" w:ascii="仿宋_GB2312" w:eastAsia="仿宋_GB2312"/>
                <w:spacing w:val="-5"/>
                <w:sz w:val="21"/>
                <w:lang w:val="en-US" w:eastAsia="zh-CN"/>
              </w:rPr>
            </w:pPr>
          </w:p>
        </w:tc>
      </w:tr>
      <w:tr w14:paraId="1F4DC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01" w:type="dxa"/>
            <w:vMerge w:val="continue"/>
            <w:tcBorders>
              <w:top w:val="single" w:color="auto" w:sz="4" w:space="0"/>
              <w:left w:val="single" w:color="auto" w:sz="12" w:space="0"/>
              <w:bottom w:val="single" w:color="auto" w:sz="4" w:space="0"/>
              <w:right w:val="single" w:color="auto" w:sz="4" w:space="0"/>
            </w:tcBorders>
            <w:vAlign w:val="center"/>
          </w:tcPr>
          <w:p w14:paraId="7409C038">
            <w:pPr>
              <w:pStyle w:val="41"/>
              <w:snapToGrid w:val="0"/>
              <w:spacing w:before="0" w:line="240" w:lineRule="auto"/>
              <w:ind w:left="0" w:leftChars="0" w:right="0" w:rightChars="0" w:firstLine="0" w:firstLineChars="0"/>
              <w:jc w:val="center"/>
              <w:rPr>
                <w:rFonts w:ascii="仿宋_GB2312" w:eastAsia="仿宋_GB2312"/>
                <w:spacing w:val="-1"/>
                <w:sz w:val="21"/>
              </w:rPr>
            </w:pPr>
          </w:p>
        </w:tc>
        <w:tc>
          <w:tcPr>
            <w:tcW w:w="2450" w:type="dxa"/>
            <w:tcBorders>
              <w:top w:val="single" w:color="auto" w:sz="4" w:space="0"/>
              <w:left w:val="single" w:color="auto" w:sz="4" w:space="0"/>
              <w:bottom w:val="single" w:color="auto" w:sz="4" w:space="0"/>
              <w:right w:val="single" w:color="auto" w:sz="4" w:space="0"/>
            </w:tcBorders>
            <w:vAlign w:val="center"/>
          </w:tcPr>
          <w:p w14:paraId="6FB08AE5">
            <w:pPr>
              <w:pStyle w:val="41"/>
              <w:snapToGrid w:val="0"/>
              <w:spacing w:before="87" w:line="240" w:lineRule="auto"/>
              <w:ind w:left="0" w:leftChars="0" w:right="0" w:rightChars="0" w:firstLine="0" w:firstLineChars="0"/>
              <w:jc w:val="center"/>
              <w:rPr>
                <w:rFonts w:hint="default" w:ascii="仿宋_GB2312" w:eastAsia="仿宋_GB2312"/>
                <w:spacing w:val="-5"/>
                <w:sz w:val="21"/>
                <w:lang w:val="en-US" w:eastAsia="zh-CN"/>
              </w:rPr>
            </w:pPr>
            <w:r>
              <w:rPr>
                <w:rFonts w:hint="eastAsia" w:ascii="仿宋_GB2312" w:eastAsia="仿宋_GB2312"/>
                <w:spacing w:val="-5"/>
                <w:sz w:val="21"/>
                <w:lang w:val="en-US" w:eastAsia="zh-CN"/>
              </w:rPr>
              <w:t>其他费用报销</w:t>
            </w: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100BAA5D">
            <w:pPr>
              <w:pStyle w:val="41"/>
              <w:snapToGrid w:val="0"/>
              <w:spacing w:before="0" w:line="240" w:lineRule="auto"/>
              <w:ind w:left="0" w:leftChars="0" w:right="0" w:rightChars="0" w:firstLine="0" w:firstLineChars="0"/>
              <w:jc w:val="center"/>
              <w:rPr>
                <w:rFonts w:hint="eastAsia" w:ascii="仿宋_GB2312" w:eastAsia="仿宋_GB2312"/>
                <w:spacing w:val="-5"/>
                <w:sz w:val="21"/>
                <w:lang w:eastAsia="zh-CN"/>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41257D55">
            <w:pPr>
              <w:pStyle w:val="41"/>
              <w:snapToGrid w:val="0"/>
              <w:spacing w:before="0" w:line="240" w:lineRule="auto"/>
              <w:ind w:left="0" w:leftChars="0" w:right="0" w:rightChars="0" w:firstLine="0" w:firstLineChars="0"/>
              <w:jc w:val="both"/>
              <w:rPr>
                <w:rFonts w:hint="eastAsia" w:ascii="仿宋_GB2312" w:eastAsia="仿宋_GB2312"/>
                <w:spacing w:val="-5"/>
                <w:sz w:val="21"/>
                <w:lang w:eastAsia="zh-CN"/>
              </w:rPr>
            </w:pPr>
          </w:p>
        </w:tc>
        <w:tc>
          <w:tcPr>
            <w:tcW w:w="1281" w:type="dxa"/>
            <w:vMerge w:val="continue"/>
            <w:tcBorders>
              <w:top w:val="single" w:color="auto" w:sz="4" w:space="0"/>
              <w:left w:val="single" w:color="auto" w:sz="4" w:space="0"/>
              <w:bottom w:val="single" w:color="auto" w:sz="4" w:space="0"/>
              <w:right w:val="single" w:color="auto" w:sz="12" w:space="0"/>
            </w:tcBorders>
            <w:vAlign w:val="center"/>
          </w:tcPr>
          <w:p w14:paraId="6525BC17">
            <w:pPr>
              <w:pStyle w:val="41"/>
              <w:snapToGrid w:val="0"/>
              <w:spacing w:before="0" w:line="240" w:lineRule="auto"/>
              <w:ind w:left="0" w:leftChars="0" w:right="0" w:rightChars="0" w:firstLine="0" w:firstLineChars="0"/>
              <w:jc w:val="both"/>
              <w:rPr>
                <w:rFonts w:hint="eastAsia" w:ascii="仿宋_GB2312" w:eastAsia="仿宋_GB2312"/>
                <w:spacing w:val="-5"/>
                <w:sz w:val="21"/>
                <w:lang w:eastAsia="zh-CN"/>
              </w:rPr>
            </w:pPr>
          </w:p>
        </w:tc>
      </w:tr>
      <w:tr w14:paraId="01739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01" w:type="dxa"/>
            <w:vMerge w:val="continue"/>
            <w:tcBorders>
              <w:top w:val="single" w:color="auto" w:sz="4" w:space="0"/>
              <w:left w:val="single" w:color="auto" w:sz="12" w:space="0"/>
              <w:bottom w:val="single" w:color="auto" w:sz="4" w:space="0"/>
              <w:right w:val="single" w:color="auto" w:sz="4" w:space="0"/>
            </w:tcBorders>
            <w:vAlign w:val="center"/>
          </w:tcPr>
          <w:p w14:paraId="28F6049C">
            <w:pPr>
              <w:pStyle w:val="41"/>
              <w:snapToGrid w:val="0"/>
              <w:spacing w:before="0" w:line="240" w:lineRule="auto"/>
              <w:ind w:left="0" w:leftChars="0" w:right="0" w:rightChars="0" w:firstLine="0" w:firstLineChars="0"/>
              <w:jc w:val="center"/>
              <w:rPr>
                <w:rFonts w:ascii="仿宋_GB2312" w:eastAsia="仿宋_GB2312"/>
                <w:spacing w:val="-1"/>
                <w:sz w:val="21"/>
              </w:rPr>
            </w:pPr>
          </w:p>
        </w:tc>
        <w:tc>
          <w:tcPr>
            <w:tcW w:w="2450" w:type="dxa"/>
            <w:tcBorders>
              <w:top w:val="single" w:color="auto" w:sz="4" w:space="0"/>
              <w:left w:val="single" w:color="auto" w:sz="4" w:space="0"/>
              <w:bottom w:val="single" w:color="auto" w:sz="4" w:space="0"/>
              <w:right w:val="single" w:color="auto" w:sz="4" w:space="0"/>
            </w:tcBorders>
            <w:vAlign w:val="center"/>
          </w:tcPr>
          <w:p w14:paraId="6E922EB7">
            <w:pPr>
              <w:pStyle w:val="41"/>
              <w:snapToGrid w:val="0"/>
              <w:spacing w:before="87" w:line="240" w:lineRule="auto"/>
              <w:ind w:left="0" w:leftChars="0" w:right="0" w:rightChars="0" w:firstLine="0" w:firstLineChars="0"/>
              <w:jc w:val="center"/>
              <w:rPr>
                <w:rFonts w:hint="eastAsia" w:ascii="仿宋_GB2312" w:eastAsia="仿宋_GB2312"/>
                <w:spacing w:val="-5"/>
                <w:sz w:val="21"/>
                <w:lang w:val="en-US" w:eastAsia="zh-CN"/>
              </w:rPr>
            </w:pPr>
            <w:r>
              <w:rPr>
                <w:rFonts w:hint="eastAsia" w:ascii="仿宋_GB2312" w:eastAsia="仿宋_GB2312"/>
                <w:spacing w:val="-5"/>
                <w:sz w:val="21"/>
                <w:lang w:val="en-US" w:eastAsia="zh-CN"/>
              </w:rPr>
              <w:t>对公报销</w:t>
            </w: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635E745E">
            <w:pPr>
              <w:pStyle w:val="41"/>
              <w:snapToGrid w:val="0"/>
              <w:spacing w:before="0" w:line="240" w:lineRule="auto"/>
              <w:ind w:left="0" w:leftChars="0" w:right="0" w:rightChars="0" w:firstLine="0" w:firstLineChars="0"/>
              <w:jc w:val="center"/>
              <w:rPr>
                <w:rFonts w:hint="eastAsia" w:ascii="仿宋_GB2312" w:eastAsia="仿宋_GB2312"/>
                <w:spacing w:val="-5"/>
                <w:sz w:val="21"/>
                <w:lang w:eastAsia="zh-CN"/>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125CEC87">
            <w:pPr>
              <w:pStyle w:val="41"/>
              <w:snapToGrid w:val="0"/>
              <w:spacing w:before="0" w:line="240" w:lineRule="auto"/>
              <w:ind w:left="0" w:leftChars="0" w:right="0" w:rightChars="0" w:firstLine="0" w:firstLineChars="0"/>
              <w:jc w:val="both"/>
              <w:rPr>
                <w:rFonts w:hint="eastAsia" w:ascii="仿宋_GB2312" w:eastAsia="仿宋_GB2312"/>
                <w:spacing w:val="-5"/>
                <w:sz w:val="21"/>
                <w:lang w:eastAsia="zh-CN"/>
              </w:rPr>
            </w:pPr>
          </w:p>
        </w:tc>
        <w:tc>
          <w:tcPr>
            <w:tcW w:w="1281" w:type="dxa"/>
            <w:vMerge w:val="continue"/>
            <w:tcBorders>
              <w:top w:val="single" w:color="auto" w:sz="4" w:space="0"/>
              <w:left w:val="single" w:color="auto" w:sz="4" w:space="0"/>
              <w:bottom w:val="single" w:color="auto" w:sz="4" w:space="0"/>
              <w:right w:val="single" w:color="auto" w:sz="12" w:space="0"/>
            </w:tcBorders>
            <w:vAlign w:val="center"/>
          </w:tcPr>
          <w:p w14:paraId="1B7A6732">
            <w:pPr>
              <w:pStyle w:val="41"/>
              <w:snapToGrid w:val="0"/>
              <w:spacing w:before="0" w:line="240" w:lineRule="auto"/>
              <w:ind w:left="0" w:leftChars="0" w:right="0" w:rightChars="0" w:firstLine="0" w:firstLineChars="0"/>
              <w:jc w:val="both"/>
              <w:rPr>
                <w:rFonts w:hint="eastAsia" w:ascii="仿宋_GB2312" w:eastAsia="仿宋_GB2312"/>
                <w:spacing w:val="-5"/>
                <w:sz w:val="21"/>
                <w:lang w:eastAsia="zh-CN"/>
              </w:rPr>
            </w:pPr>
          </w:p>
        </w:tc>
      </w:tr>
      <w:tr w14:paraId="174B1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01" w:type="dxa"/>
            <w:vMerge w:val="continue"/>
            <w:tcBorders>
              <w:top w:val="single" w:color="auto" w:sz="4" w:space="0"/>
              <w:left w:val="single" w:color="auto" w:sz="12" w:space="0"/>
              <w:bottom w:val="single" w:color="auto" w:sz="4" w:space="0"/>
              <w:right w:val="single" w:color="auto" w:sz="4" w:space="0"/>
            </w:tcBorders>
            <w:vAlign w:val="center"/>
          </w:tcPr>
          <w:p w14:paraId="2315F2A5">
            <w:pPr>
              <w:pStyle w:val="41"/>
              <w:snapToGrid w:val="0"/>
              <w:spacing w:before="0" w:line="240" w:lineRule="auto"/>
              <w:ind w:left="0" w:leftChars="0" w:right="0" w:rightChars="0" w:firstLine="0" w:firstLineChars="0"/>
              <w:jc w:val="center"/>
              <w:rPr>
                <w:rFonts w:ascii="仿宋_GB2312" w:eastAsia="仿宋_GB2312"/>
                <w:spacing w:val="-1"/>
                <w:sz w:val="21"/>
              </w:rPr>
            </w:pPr>
          </w:p>
        </w:tc>
        <w:tc>
          <w:tcPr>
            <w:tcW w:w="2450" w:type="dxa"/>
            <w:tcBorders>
              <w:top w:val="single" w:color="auto" w:sz="4" w:space="0"/>
              <w:left w:val="single" w:color="auto" w:sz="4" w:space="0"/>
              <w:bottom w:val="single" w:color="auto" w:sz="4" w:space="0"/>
              <w:right w:val="single" w:color="auto" w:sz="4" w:space="0"/>
            </w:tcBorders>
            <w:vAlign w:val="center"/>
          </w:tcPr>
          <w:p w14:paraId="109AA19F">
            <w:pPr>
              <w:pStyle w:val="41"/>
              <w:snapToGrid w:val="0"/>
              <w:spacing w:before="87" w:line="240" w:lineRule="auto"/>
              <w:ind w:left="0" w:leftChars="0" w:right="0" w:rightChars="0" w:firstLine="0" w:firstLineChars="0"/>
              <w:jc w:val="center"/>
              <w:rPr>
                <w:rFonts w:hint="default" w:ascii="仿宋_GB2312" w:eastAsia="仿宋_GB2312"/>
                <w:spacing w:val="-5"/>
                <w:sz w:val="21"/>
                <w:lang w:val="en-US" w:eastAsia="zh-CN"/>
              </w:rPr>
            </w:pPr>
            <w:r>
              <w:rPr>
                <w:rFonts w:hint="eastAsia" w:ascii="仿宋_GB2312" w:eastAsia="仿宋_GB2312"/>
                <w:spacing w:val="-5"/>
                <w:sz w:val="21"/>
                <w:lang w:val="en-US" w:eastAsia="zh-CN"/>
              </w:rPr>
              <w:t>报帐工作台</w:t>
            </w: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1867A534">
            <w:pPr>
              <w:pStyle w:val="41"/>
              <w:snapToGrid w:val="0"/>
              <w:spacing w:before="0" w:line="240" w:lineRule="auto"/>
              <w:ind w:left="0" w:leftChars="0" w:right="0" w:rightChars="0" w:firstLine="0" w:firstLineChars="0"/>
              <w:jc w:val="center"/>
              <w:rPr>
                <w:rFonts w:hint="eastAsia" w:ascii="仿宋_GB2312" w:eastAsia="仿宋_GB2312"/>
                <w:spacing w:val="-5"/>
                <w:sz w:val="21"/>
                <w:lang w:eastAsia="zh-CN"/>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7AA7C539">
            <w:pPr>
              <w:pStyle w:val="41"/>
              <w:snapToGrid w:val="0"/>
              <w:spacing w:before="0" w:line="240" w:lineRule="auto"/>
              <w:ind w:left="0" w:leftChars="0" w:right="0" w:rightChars="0" w:firstLine="0" w:firstLineChars="0"/>
              <w:jc w:val="both"/>
              <w:rPr>
                <w:rFonts w:hint="eastAsia" w:ascii="仿宋_GB2312" w:eastAsia="仿宋_GB2312"/>
                <w:spacing w:val="-5"/>
                <w:sz w:val="21"/>
                <w:lang w:eastAsia="zh-CN"/>
              </w:rPr>
            </w:pPr>
          </w:p>
        </w:tc>
        <w:tc>
          <w:tcPr>
            <w:tcW w:w="1281" w:type="dxa"/>
            <w:vMerge w:val="continue"/>
            <w:tcBorders>
              <w:top w:val="single" w:color="auto" w:sz="4" w:space="0"/>
              <w:left w:val="single" w:color="auto" w:sz="4" w:space="0"/>
              <w:bottom w:val="single" w:color="auto" w:sz="4" w:space="0"/>
              <w:right w:val="single" w:color="auto" w:sz="12" w:space="0"/>
            </w:tcBorders>
            <w:vAlign w:val="center"/>
          </w:tcPr>
          <w:p w14:paraId="05792EB7">
            <w:pPr>
              <w:pStyle w:val="41"/>
              <w:snapToGrid w:val="0"/>
              <w:spacing w:before="0" w:line="240" w:lineRule="auto"/>
              <w:ind w:left="0" w:leftChars="0" w:right="0" w:rightChars="0" w:firstLine="0" w:firstLineChars="0"/>
              <w:jc w:val="both"/>
              <w:rPr>
                <w:rFonts w:hint="eastAsia" w:ascii="仿宋_GB2312" w:eastAsia="仿宋_GB2312"/>
                <w:spacing w:val="-5"/>
                <w:sz w:val="21"/>
                <w:lang w:eastAsia="zh-CN"/>
              </w:rPr>
            </w:pPr>
          </w:p>
        </w:tc>
      </w:tr>
      <w:tr w14:paraId="285F5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01" w:type="dxa"/>
            <w:vMerge w:val="restart"/>
            <w:tcBorders>
              <w:top w:val="single" w:color="auto" w:sz="4" w:space="0"/>
              <w:left w:val="single" w:color="auto" w:sz="12" w:space="0"/>
              <w:bottom w:val="single" w:color="auto" w:sz="4" w:space="0"/>
              <w:right w:val="single" w:color="auto" w:sz="4" w:space="0"/>
            </w:tcBorders>
            <w:vAlign w:val="center"/>
          </w:tcPr>
          <w:p w14:paraId="7E8EAE8D">
            <w:pPr>
              <w:pStyle w:val="41"/>
              <w:snapToGrid w:val="0"/>
              <w:spacing w:before="0" w:line="240" w:lineRule="auto"/>
              <w:ind w:left="0" w:leftChars="0" w:right="0" w:rightChars="0" w:firstLine="0" w:firstLineChars="0"/>
              <w:jc w:val="center"/>
              <w:rPr>
                <w:rFonts w:hint="default" w:ascii="仿宋_GB2312" w:eastAsia="仿宋_GB2312"/>
                <w:sz w:val="21"/>
                <w:lang w:val="en-US" w:eastAsia="zh-CN"/>
              </w:rPr>
            </w:pPr>
            <w:r>
              <w:rPr>
                <w:rFonts w:hint="eastAsia" w:ascii="仿宋_GB2312" w:eastAsia="仿宋_GB2312" w:cs="Times New Roman"/>
                <w:spacing w:val="-1"/>
                <w:sz w:val="21"/>
                <w:lang w:val="en-US" w:eastAsia="zh-CN"/>
              </w:rPr>
              <w:t>财务核算</w:t>
            </w:r>
          </w:p>
        </w:tc>
        <w:tc>
          <w:tcPr>
            <w:tcW w:w="2450" w:type="dxa"/>
            <w:tcBorders>
              <w:top w:val="single" w:color="auto" w:sz="4" w:space="0"/>
              <w:left w:val="single" w:color="auto" w:sz="4" w:space="0"/>
              <w:bottom w:val="single" w:color="auto" w:sz="4" w:space="0"/>
              <w:right w:val="single" w:color="auto" w:sz="4" w:space="0"/>
            </w:tcBorders>
            <w:vAlign w:val="center"/>
          </w:tcPr>
          <w:p w14:paraId="04702AF9">
            <w:pPr>
              <w:pStyle w:val="41"/>
              <w:snapToGrid w:val="0"/>
              <w:spacing w:before="87" w:line="240" w:lineRule="auto"/>
              <w:ind w:left="0" w:leftChars="0" w:right="0" w:rightChars="0" w:firstLine="0" w:firstLineChars="0"/>
              <w:jc w:val="center"/>
              <w:rPr>
                <w:rFonts w:hint="eastAsia" w:ascii="仿宋_GB2312" w:eastAsia="仿宋_GB2312"/>
                <w:sz w:val="21"/>
              </w:rPr>
            </w:pPr>
            <w:r>
              <w:rPr>
                <w:rFonts w:ascii="仿宋_GB2312" w:eastAsia="仿宋_GB2312"/>
                <w:spacing w:val="-5"/>
                <w:sz w:val="21"/>
              </w:rPr>
              <w:t>总账</w:t>
            </w:r>
          </w:p>
        </w:tc>
        <w:tc>
          <w:tcPr>
            <w:tcW w:w="1450" w:type="dxa"/>
            <w:vMerge w:val="restart"/>
            <w:tcBorders>
              <w:top w:val="single" w:color="auto" w:sz="4" w:space="0"/>
              <w:left w:val="single" w:color="auto" w:sz="4" w:space="0"/>
              <w:bottom w:val="single" w:color="auto" w:sz="4" w:space="0"/>
              <w:right w:val="single" w:color="auto" w:sz="4" w:space="0"/>
            </w:tcBorders>
            <w:vAlign w:val="center"/>
          </w:tcPr>
          <w:p w14:paraId="333D3C31">
            <w:pPr>
              <w:pStyle w:val="41"/>
              <w:snapToGrid w:val="0"/>
              <w:spacing w:before="0" w:line="240" w:lineRule="auto"/>
              <w:ind w:left="0" w:leftChars="0" w:right="0" w:rightChars="0" w:firstLine="0" w:firstLineChars="0"/>
              <w:jc w:val="center"/>
              <w:rPr>
                <w:rFonts w:hint="default" w:ascii="仿宋_GB2312" w:eastAsia="仿宋_GB2312"/>
                <w:sz w:val="21"/>
                <w:lang w:val="en-US" w:eastAsia="zh-CN"/>
              </w:rPr>
            </w:pPr>
            <w:r>
              <w:rPr>
                <w:rFonts w:hint="eastAsia" w:ascii="仿宋_GB2312" w:eastAsia="仿宋_GB2312"/>
                <w:sz w:val="21"/>
                <w:lang w:val="en-US" w:eastAsia="zh-CN"/>
              </w:rPr>
              <w:t>60</w:t>
            </w:r>
          </w:p>
        </w:tc>
        <w:tc>
          <w:tcPr>
            <w:tcW w:w="1065" w:type="dxa"/>
            <w:vMerge w:val="restart"/>
            <w:tcBorders>
              <w:top w:val="single" w:color="auto" w:sz="4" w:space="0"/>
              <w:left w:val="single" w:color="auto" w:sz="4" w:space="0"/>
              <w:bottom w:val="single" w:color="auto" w:sz="4" w:space="0"/>
              <w:right w:val="single" w:color="auto" w:sz="4" w:space="0"/>
            </w:tcBorders>
            <w:vAlign w:val="center"/>
          </w:tcPr>
          <w:p w14:paraId="441969DB">
            <w:pPr>
              <w:pStyle w:val="41"/>
              <w:snapToGrid w:val="0"/>
              <w:spacing w:before="0" w:line="240" w:lineRule="auto"/>
              <w:ind w:left="0" w:leftChars="0" w:right="0" w:rightChars="0" w:firstLine="0" w:firstLineChars="0"/>
              <w:jc w:val="both"/>
              <w:rPr>
                <w:rFonts w:hint="eastAsia" w:ascii="仿宋_GB2312" w:eastAsia="仿宋_GB2312"/>
                <w:sz w:val="21"/>
                <w:lang w:val="en-US" w:eastAsia="zh-CN"/>
              </w:rPr>
            </w:pPr>
          </w:p>
        </w:tc>
        <w:tc>
          <w:tcPr>
            <w:tcW w:w="1281" w:type="dxa"/>
            <w:vMerge w:val="restart"/>
            <w:tcBorders>
              <w:top w:val="single" w:color="auto" w:sz="4" w:space="0"/>
              <w:left w:val="single" w:color="auto" w:sz="4" w:space="0"/>
              <w:bottom w:val="single" w:color="auto" w:sz="4" w:space="0"/>
              <w:right w:val="single" w:color="auto" w:sz="12" w:space="0"/>
            </w:tcBorders>
            <w:vAlign w:val="center"/>
          </w:tcPr>
          <w:p w14:paraId="359835A8">
            <w:pPr>
              <w:pStyle w:val="41"/>
              <w:snapToGrid w:val="0"/>
              <w:spacing w:before="0" w:line="240" w:lineRule="auto"/>
              <w:ind w:left="0" w:leftChars="0" w:right="0" w:rightChars="0" w:firstLine="0" w:firstLineChars="0"/>
              <w:jc w:val="both"/>
              <w:rPr>
                <w:rFonts w:hint="eastAsia" w:ascii="仿宋_GB2312" w:eastAsia="仿宋_GB2312"/>
                <w:sz w:val="21"/>
                <w:lang w:val="en-US" w:eastAsia="zh-CN"/>
              </w:rPr>
            </w:pPr>
          </w:p>
        </w:tc>
      </w:tr>
      <w:tr w14:paraId="44285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01" w:type="dxa"/>
            <w:vMerge w:val="continue"/>
            <w:tcBorders>
              <w:top w:val="single" w:color="auto" w:sz="4" w:space="0"/>
              <w:left w:val="single" w:color="auto" w:sz="12" w:space="0"/>
              <w:bottom w:val="single" w:color="auto" w:sz="4" w:space="0"/>
              <w:right w:val="single" w:color="auto" w:sz="4" w:space="0"/>
            </w:tcBorders>
            <w:vAlign w:val="center"/>
          </w:tcPr>
          <w:p w14:paraId="1A71A2D0">
            <w:pPr>
              <w:pStyle w:val="41"/>
              <w:snapToGrid w:val="0"/>
              <w:spacing w:before="0" w:line="240" w:lineRule="auto"/>
              <w:ind w:left="0" w:leftChars="0" w:right="0" w:rightChars="0" w:firstLine="0" w:firstLineChars="0"/>
              <w:jc w:val="center"/>
              <w:rPr>
                <w:rFonts w:ascii="仿宋_GB2312" w:eastAsia="仿宋_GB2312"/>
                <w:spacing w:val="-1"/>
                <w:sz w:val="21"/>
              </w:rPr>
            </w:pPr>
          </w:p>
        </w:tc>
        <w:tc>
          <w:tcPr>
            <w:tcW w:w="2450" w:type="dxa"/>
            <w:tcBorders>
              <w:top w:val="single" w:color="auto" w:sz="4" w:space="0"/>
              <w:left w:val="single" w:color="auto" w:sz="4" w:space="0"/>
              <w:bottom w:val="single" w:color="auto" w:sz="4" w:space="0"/>
              <w:right w:val="single" w:color="auto" w:sz="4" w:space="0"/>
            </w:tcBorders>
            <w:vAlign w:val="center"/>
          </w:tcPr>
          <w:p w14:paraId="2489A6C3">
            <w:pPr>
              <w:pStyle w:val="41"/>
              <w:snapToGrid w:val="0"/>
              <w:spacing w:before="87" w:line="240" w:lineRule="auto"/>
              <w:ind w:left="0" w:leftChars="0" w:right="0" w:rightChars="0" w:firstLine="0" w:firstLineChars="0"/>
              <w:jc w:val="center"/>
              <w:rPr>
                <w:rFonts w:hint="eastAsia" w:ascii="仿宋_GB2312" w:eastAsia="仿宋_GB2312"/>
                <w:spacing w:val="-5"/>
                <w:sz w:val="21"/>
                <w:lang w:val="en-US" w:eastAsia="zh-CN"/>
              </w:rPr>
            </w:pPr>
            <w:r>
              <w:rPr>
                <w:rFonts w:hint="eastAsia" w:ascii="仿宋_GB2312" w:eastAsia="仿宋_GB2312"/>
                <w:spacing w:val="-5"/>
                <w:sz w:val="21"/>
                <w:lang w:val="en-US" w:eastAsia="zh-CN"/>
              </w:rPr>
              <w:t>固定资产</w:t>
            </w: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7546045C">
            <w:pPr>
              <w:pStyle w:val="41"/>
              <w:snapToGrid w:val="0"/>
              <w:spacing w:before="0" w:line="240" w:lineRule="auto"/>
              <w:ind w:left="0" w:leftChars="0" w:right="0" w:rightChars="0" w:firstLine="0" w:firstLineChars="0"/>
              <w:jc w:val="center"/>
              <w:rPr>
                <w:rFonts w:hint="eastAsia" w:ascii="仿宋_GB2312" w:eastAsia="仿宋_GB2312"/>
                <w:spacing w:val="-5"/>
                <w:sz w:val="21"/>
                <w:lang w:eastAsia="zh-CN"/>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213D55CA">
            <w:pPr>
              <w:pStyle w:val="41"/>
              <w:snapToGrid w:val="0"/>
              <w:spacing w:before="0" w:line="240" w:lineRule="auto"/>
              <w:ind w:left="0" w:leftChars="0" w:right="0" w:rightChars="0" w:firstLine="0" w:firstLineChars="0"/>
              <w:jc w:val="both"/>
              <w:rPr>
                <w:rFonts w:hint="eastAsia" w:ascii="仿宋_GB2312" w:eastAsia="仿宋_GB2312"/>
                <w:spacing w:val="-5"/>
                <w:sz w:val="21"/>
                <w:lang w:eastAsia="zh-CN"/>
              </w:rPr>
            </w:pPr>
          </w:p>
        </w:tc>
        <w:tc>
          <w:tcPr>
            <w:tcW w:w="1281" w:type="dxa"/>
            <w:vMerge w:val="continue"/>
            <w:tcBorders>
              <w:top w:val="single" w:color="auto" w:sz="4" w:space="0"/>
              <w:left w:val="single" w:color="auto" w:sz="4" w:space="0"/>
              <w:bottom w:val="single" w:color="auto" w:sz="4" w:space="0"/>
              <w:right w:val="single" w:color="auto" w:sz="12" w:space="0"/>
            </w:tcBorders>
            <w:vAlign w:val="center"/>
          </w:tcPr>
          <w:p w14:paraId="5E1417C0">
            <w:pPr>
              <w:pStyle w:val="41"/>
              <w:snapToGrid w:val="0"/>
              <w:spacing w:before="0" w:line="240" w:lineRule="auto"/>
              <w:ind w:left="0" w:leftChars="0" w:right="0" w:rightChars="0" w:firstLine="0" w:firstLineChars="0"/>
              <w:jc w:val="both"/>
              <w:rPr>
                <w:rFonts w:hint="eastAsia" w:ascii="仿宋_GB2312" w:eastAsia="仿宋_GB2312"/>
                <w:spacing w:val="-5"/>
                <w:sz w:val="21"/>
                <w:lang w:eastAsia="zh-CN"/>
              </w:rPr>
            </w:pPr>
          </w:p>
        </w:tc>
      </w:tr>
      <w:tr w14:paraId="56CAB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01" w:type="dxa"/>
            <w:vMerge w:val="continue"/>
            <w:tcBorders>
              <w:top w:val="single" w:color="auto" w:sz="4" w:space="0"/>
              <w:left w:val="single" w:color="auto" w:sz="12" w:space="0"/>
              <w:bottom w:val="single" w:color="auto" w:sz="4" w:space="0"/>
              <w:right w:val="single" w:color="auto" w:sz="4" w:space="0"/>
            </w:tcBorders>
            <w:vAlign w:val="center"/>
          </w:tcPr>
          <w:p w14:paraId="49A0B298">
            <w:pPr>
              <w:snapToGrid w:val="0"/>
              <w:spacing w:line="240" w:lineRule="auto"/>
              <w:ind w:left="0" w:leftChars="0" w:right="0" w:rightChars="0" w:firstLine="0" w:firstLineChars="0"/>
              <w:jc w:val="center"/>
              <w:rPr>
                <w:rFonts w:hint="eastAsia" w:ascii="仿宋_GB2312" w:eastAsia="仿宋_GB2312"/>
                <w:sz w:val="21"/>
                <w:szCs w:val="2"/>
              </w:rPr>
            </w:pPr>
          </w:p>
        </w:tc>
        <w:tc>
          <w:tcPr>
            <w:tcW w:w="2450" w:type="dxa"/>
            <w:tcBorders>
              <w:top w:val="single" w:color="auto" w:sz="4" w:space="0"/>
              <w:left w:val="single" w:color="auto" w:sz="4" w:space="0"/>
              <w:bottom w:val="single" w:color="auto" w:sz="4" w:space="0"/>
              <w:right w:val="single" w:color="auto" w:sz="4" w:space="0"/>
            </w:tcBorders>
            <w:vAlign w:val="center"/>
          </w:tcPr>
          <w:p w14:paraId="2CC78CE9">
            <w:pPr>
              <w:pStyle w:val="41"/>
              <w:snapToGrid w:val="0"/>
              <w:spacing w:line="240" w:lineRule="auto"/>
              <w:ind w:left="0" w:leftChars="0" w:right="0" w:rightChars="0" w:firstLine="0" w:firstLineChars="0"/>
              <w:jc w:val="center"/>
              <w:rPr>
                <w:rFonts w:hint="eastAsia" w:ascii="仿宋_GB2312" w:eastAsia="仿宋_GB2312"/>
                <w:sz w:val="21"/>
              </w:rPr>
            </w:pPr>
            <w:r>
              <w:rPr>
                <w:rFonts w:ascii="仿宋_GB2312" w:eastAsia="仿宋_GB2312"/>
                <w:spacing w:val="-3"/>
                <w:sz w:val="21"/>
              </w:rPr>
              <w:t>费用核算</w:t>
            </w: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6701B004">
            <w:pPr>
              <w:snapToGrid w:val="0"/>
              <w:spacing w:line="240" w:lineRule="auto"/>
              <w:ind w:left="0" w:leftChars="0" w:right="0" w:rightChars="0" w:firstLine="0" w:firstLineChars="0"/>
              <w:jc w:val="center"/>
              <w:rPr>
                <w:rFonts w:hint="eastAsia" w:ascii="仿宋_GB2312" w:eastAsia="仿宋_GB2312"/>
                <w:sz w:val="21"/>
                <w:szCs w:val="2"/>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5E687DD3">
            <w:pPr>
              <w:snapToGrid w:val="0"/>
              <w:spacing w:line="240" w:lineRule="auto"/>
              <w:ind w:left="0" w:leftChars="0" w:right="0" w:rightChars="0" w:firstLine="0" w:firstLineChars="0"/>
              <w:jc w:val="both"/>
              <w:rPr>
                <w:rFonts w:hint="eastAsia" w:ascii="仿宋_GB2312" w:eastAsia="仿宋_GB2312"/>
                <w:sz w:val="21"/>
                <w:szCs w:val="2"/>
              </w:rPr>
            </w:pPr>
          </w:p>
        </w:tc>
        <w:tc>
          <w:tcPr>
            <w:tcW w:w="1281" w:type="dxa"/>
            <w:vMerge w:val="continue"/>
            <w:tcBorders>
              <w:top w:val="single" w:color="auto" w:sz="4" w:space="0"/>
              <w:left w:val="single" w:color="auto" w:sz="4" w:space="0"/>
              <w:bottom w:val="single" w:color="auto" w:sz="4" w:space="0"/>
              <w:right w:val="single" w:color="auto" w:sz="12" w:space="0"/>
            </w:tcBorders>
            <w:vAlign w:val="center"/>
          </w:tcPr>
          <w:p w14:paraId="725B1802">
            <w:pPr>
              <w:snapToGrid w:val="0"/>
              <w:spacing w:line="240" w:lineRule="auto"/>
              <w:ind w:left="0" w:leftChars="0" w:right="0" w:rightChars="0" w:firstLine="0" w:firstLineChars="0"/>
              <w:jc w:val="both"/>
              <w:rPr>
                <w:rFonts w:hint="eastAsia" w:ascii="仿宋_GB2312" w:eastAsia="仿宋_GB2312"/>
                <w:sz w:val="21"/>
                <w:szCs w:val="2"/>
              </w:rPr>
            </w:pPr>
          </w:p>
        </w:tc>
      </w:tr>
      <w:tr w14:paraId="6044D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01" w:type="dxa"/>
            <w:vMerge w:val="continue"/>
            <w:tcBorders>
              <w:top w:val="single" w:color="auto" w:sz="4" w:space="0"/>
              <w:left w:val="single" w:color="auto" w:sz="12" w:space="0"/>
              <w:bottom w:val="single" w:color="auto" w:sz="4" w:space="0"/>
              <w:right w:val="single" w:color="auto" w:sz="4" w:space="0"/>
            </w:tcBorders>
            <w:vAlign w:val="center"/>
          </w:tcPr>
          <w:p w14:paraId="28F167D4">
            <w:pPr>
              <w:snapToGrid w:val="0"/>
              <w:spacing w:line="240" w:lineRule="auto"/>
              <w:ind w:left="0" w:leftChars="0" w:right="0" w:rightChars="0" w:firstLine="0" w:firstLineChars="0"/>
              <w:jc w:val="center"/>
              <w:rPr>
                <w:rFonts w:hint="eastAsia" w:ascii="仿宋_GB2312" w:eastAsia="仿宋_GB2312"/>
                <w:sz w:val="21"/>
                <w:szCs w:val="2"/>
              </w:rPr>
            </w:pPr>
          </w:p>
        </w:tc>
        <w:tc>
          <w:tcPr>
            <w:tcW w:w="2450" w:type="dxa"/>
            <w:tcBorders>
              <w:top w:val="single" w:color="auto" w:sz="4" w:space="0"/>
              <w:left w:val="single" w:color="auto" w:sz="4" w:space="0"/>
              <w:bottom w:val="single" w:color="auto" w:sz="4" w:space="0"/>
              <w:right w:val="single" w:color="auto" w:sz="4" w:space="0"/>
            </w:tcBorders>
            <w:vAlign w:val="center"/>
          </w:tcPr>
          <w:p w14:paraId="15650589">
            <w:pPr>
              <w:pStyle w:val="41"/>
              <w:snapToGrid w:val="0"/>
              <w:spacing w:line="240" w:lineRule="auto"/>
              <w:ind w:left="0" w:leftChars="0" w:right="0" w:rightChars="0" w:firstLine="0" w:firstLineChars="0"/>
              <w:jc w:val="center"/>
              <w:rPr>
                <w:rFonts w:hint="eastAsia" w:ascii="仿宋_GB2312" w:eastAsia="仿宋_GB2312"/>
                <w:sz w:val="21"/>
              </w:rPr>
            </w:pPr>
            <w:r>
              <w:rPr>
                <w:rFonts w:ascii="仿宋_GB2312" w:eastAsia="仿宋_GB2312"/>
                <w:spacing w:val="-5"/>
                <w:sz w:val="21"/>
              </w:rPr>
              <w:t>出纳</w:t>
            </w: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75C9CE02">
            <w:pPr>
              <w:snapToGrid w:val="0"/>
              <w:spacing w:line="240" w:lineRule="auto"/>
              <w:ind w:left="0" w:leftChars="0" w:right="0" w:rightChars="0" w:firstLine="0" w:firstLineChars="0"/>
              <w:jc w:val="center"/>
              <w:rPr>
                <w:rFonts w:hint="eastAsia" w:ascii="仿宋_GB2312" w:eastAsia="仿宋_GB2312"/>
                <w:sz w:val="21"/>
                <w:szCs w:val="2"/>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0361F6C1">
            <w:pPr>
              <w:snapToGrid w:val="0"/>
              <w:spacing w:line="240" w:lineRule="auto"/>
              <w:ind w:left="0" w:leftChars="0" w:right="0" w:rightChars="0" w:firstLine="0" w:firstLineChars="0"/>
              <w:jc w:val="both"/>
              <w:rPr>
                <w:rFonts w:hint="eastAsia" w:ascii="仿宋_GB2312" w:eastAsia="仿宋_GB2312"/>
                <w:sz w:val="21"/>
                <w:szCs w:val="2"/>
              </w:rPr>
            </w:pPr>
          </w:p>
        </w:tc>
        <w:tc>
          <w:tcPr>
            <w:tcW w:w="1281" w:type="dxa"/>
            <w:vMerge w:val="continue"/>
            <w:tcBorders>
              <w:top w:val="single" w:color="auto" w:sz="4" w:space="0"/>
              <w:left w:val="single" w:color="auto" w:sz="4" w:space="0"/>
              <w:bottom w:val="single" w:color="auto" w:sz="4" w:space="0"/>
              <w:right w:val="single" w:color="auto" w:sz="12" w:space="0"/>
            </w:tcBorders>
            <w:vAlign w:val="center"/>
          </w:tcPr>
          <w:p w14:paraId="73A45F95">
            <w:pPr>
              <w:snapToGrid w:val="0"/>
              <w:spacing w:line="240" w:lineRule="auto"/>
              <w:ind w:left="0" w:leftChars="0" w:right="0" w:rightChars="0" w:firstLine="0" w:firstLineChars="0"/>
              <w:jc w:val="both"/>
              <w:rPr>
                <w:rFonts w:hint="eastAsia" w:ascii="仿宋_GB2312" w:eastAsia="仿宋_GB2312"/>
                <w:sz w:val="21"/>
                <w:szCs w:val="2"/>
              </w:rPr>
            </w:pPr>
          </w:p>
        </w:tc>
      </w:tr>
      <w:tr w14:paraId="0BE86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01" w:type="dxa"/>
            <w:vMerge w:val="continue"/>
            <w:tcBorders>
              <w:top w:val="single" w:color="auto" w:sz="4" w:space="0"/>
              <w:left w:val="single" w:color="auto" w:sz="12" w:space="0"/>
              <w:bottom w:val="single" w:color="auto" w:sz="4" w:space="0"/>
              <w:right w:val="single" w:color="auto" w:sz="4" w:space="0"/>
            </w:tcBorders>
            <w:vAlign w:val="center"/>
          </w:tcPr>
          <w:p w14:paraId="500C1D0A">
            <w:pPr>
              <w:snapToGrid w:val="0"/>
              <w:spacing w:line="240" w:lineRule="auto"/>
              <w:ind w:left="0" w:leftChars="0" w:right="0" w:rightChars="0" w:firstLine="0" w:firstLineChars="0"/>
              <w:jc w:val="center"/>
              <w:rPr>
                <w:rFonts w:hint="eastAsia" w:ascii="仿宋_GB2312" w:eastAsia="仿宋_GB2312"/>
                <w:sz w:val="21"/>
                <w:szCs w:val="2"/>
              </w:rPr>
            </w:pPr>
          </w:p>
        </w:tc>
        <w:tc>
          <w:tcPr>
            <w:tcW w:w="2450" w:type="dxa"/>
            <w:tcBorders>
              <w:top w:val="single" w:color="auto" w:sz="4" w:space="0"/>
              <w:left w:val="single" w:color="auto" w:sz="4" w:space="0"/>
              <w:bottom w:val="single" w:color="auto" w:sz="4" w:space="0"/>
              <w:right w:val="single" w:color="auto" w:sz="4" w:space="0"/>
            </w:tcBorders>
            <w:vAlign w:val="center"/>
          </w:tcPr>
          <w:p w14:paraId="73E4514F">
            <w:pPr>
              <w:pStyle w:val="41"/>
              <w:snapToGrid w:val="0"/>
              <w:spacing w:line="240" w:lineRule="auto"/>
              <w:ind w:left="0" w:leftChars="0" w:right="0" w:rightChars="0" w:firstLine="0" w:firstLineChars="0"/>
              <w:jc w:val="center"/>
              <w:rPr>
                <w:rFonts w:hint="eastAsia" w:ascii="仿宋_GB2312" w:eastAsia="仿宋_GB2312"/>
                <w:sz w:val="21"/>
              </w:rPr>
            </w:pPr>
            <w:r>
              <w:rPr>
                <w:rFonts w:ascii="仿宋_GB2312" w:eastAsia="仿宋_GB2312"/>
                <w:spacing w:val="-5"/>
                <w:sz w:val="21"/>
              </w:rPr>
              <w:t>应收</w:t>
            </w: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2B8211F7">
            <w:pPr>
              <w:snapToGrid w:val="0"/>
              <w:spacing w:line="240" w:lineRule="auto"/>
              <w:ind w:left="0" w:leftChars="0" w:right="0" w:rightChars="0" w:firstLine="0" w:firstLineChars="0"/>
              <w:jc w:val="center"/>
              <w:rPr>
                <w:rFonts w:hint="eastAsia" w:ascii="仿宋_GB2312" w:eastAsia="仿宋_GB2312"/>
                <w:sz w:val="21"/>
                <w:szCs w:val="2"/>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577BE8D9">
            <w:pPr>
              <w:snapToGrid w:val="0"/>
              <w:spacing w:line="240" w:lineRule="auto"/>
              <w:ind w:left="0" w:leftChars="0" w:right="0" w:rightChars="0" w:firstLine="0" w:firstLineChars="0"/>
              <w:jc w:val="both"/>
              <w:rPr>
                <w:rFonts w:hint="eastAsia" w:ascii="仿宋_GB2312" w:eastAsia="仿宋_GB2312"/>
                <w:sz w:val="21"/>
                <w:szCs w:val="2"/>
              </w:rPr>
            </w:pPr>
          </w:p>
        </w:tc>
        <w:tc>
          <w:tcPr>
            <w:tcW w:w="1281" w:type="dxa"/>
            <w:vMerge w:val="continue"/>
            <w:tcBorders>
              <w:top w:val="single" w:color="auto" w:sz="4" w:space="0"/>
              <w:left w:val="single" w:color="auto" w:sz="4" w:space="0"/>
              <w:bottom w:val="single" w:color="auto" w:sz="4" w:space="0"/>
              <w:right w:val="single" w:color="auto" w:sz="12" w:space="0"/>
            </w:tcBorders>
            <w:vAlign w:val="center"/>
          </w:tcPr>
          <w:p w14:paraId="04B60CD6">
            <w:pPr>
              <w:snapToGrid w:val="0"/>
              <w:spacing w:line="240" w:lineRule="auto"/>
              <w:ind w:left="0" w:leftChars="0" w:right="0" w:rightChars="0" w:firstLine="0" w:firstLineChars="0"/>
              <w:jc w:val="both"/>
              <w:rPr>
                <w:rFonts w:hint="eastAsia" w:ascii="仿宋_GB2312" w:eastAsia="仿宋_GB2312"/>
                <w:sz w:val="21"/>
                <w:szCs w:val="2"/>
              </w:rPr>
            </w:pPr>
          </w:p>
        </w:tc>
      </w:tr>
      <w:tr w14:paraId="0FD73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01" w:type="dxa"/>
            <w:vMerge w:val="continue"/>
            <w:tcBorders>
              <w:top w:val="single" w:color="auto" w:sz="4" w:space="0"/>
              <w:left w:val="single" w:color="auto" w:sz="12" w:space="0"/>
              <w:bottom w:val="single" w:color="auto" w:sz="4" w:space="0"/>
              <w:right w:val="single" w:color="auto" w:sz="4" w:space="0"/>
            </w:tcBorders>
            <w:vAlign w:val="center"/>
          </w:tcPr>
          <w:p w14:paraId="70DC6809">
            <w:pPr>
              <w:snapToGrid w:val="0"/>
              <w:spacing w:line="240" w:lineRule="auto"/>
              <w:ind w:left="0" w:leftChars="0" w:right="0" w:rightChars="0" w:firstLine="0" w:firstLineChars="0"/>
              <w:jc w:val="center"/>
              <w:rPr>
                <w:rFonts w:hint="eastAsia" w:ascii="仿宋_GB2312" w:eastAsia="仿宋_GB2312"/>
                <w:sz w:val="21"/>
                <w:szCs w:val="2"/>
              </w:rPr>
            </w:pPr>
          </w:p>
        </w:tc>
        <w:tc>
          <w:tcPr>
            <w:tcW w:w="2450" w:type="dxa"/>
            <w:tcBorders>
              <w:top w:val="single" w:color="auto" w:sz="4" w:space="0"/>
              <w:left w:val="single" w:color="auto" w:sz="4" w:space="0"/>
              <w:bottom w:val="single" w:color="auto" w:sz="4" w:space="0"/>
              <w:right w:val="single" w:color="auto" w:sz="4" w:space="0"/>
            </w:tcBorders>
            <w:vAlign w:val="center"/>
          </w:tcPr>
          <w:p w14:paraId="0D346B45">
            <w:pPr>
              <w:pStyle w:val="41"/>
              <w:snapToGrid w:val="0"/>
              <w:spacing w:line="240" w:lineRule="auto"/>
              <w:ind w:left="0" w:leftChars="0" w:right="0" w:rightChars="0" w:firstLine="0" w:firstLineChars="0"/>
              <w:jc w:val="center"/>
              <w:rPr>
                <w:rFonts w:hint="eastAsia" w:ascii="仿宋_GB2312" w:eastAsia="仿宋_GB2312"/>
                <w:sz w:val="21"/>
              </w:rPr>
            </w:pPr>
            <w:r>
              <w:rPr>
                <w:rFonts w:ascii="仿宋_GB2312" w:eastAsia="仿宋_GB2312"/>
                <w:spacing w:val="-5"/>
                <w:sz w:val="21"/>
              </w:rPr>
              <w:t>应付</w:t>
            </w: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29271013">
            <w:pPr>
              <w:snapToGrid w:val="0"/>
              <w:spacing w:line="240" w:lineRule="auto"/>
              <w:ind w:left="0" w:leftChars="0" w:right="0" w:rightChars="0" w:firstLine="0" w:firstLineChars="0"/>
              <w:jc w:val="center"/>
              <w:rPr>
                <w:rFonts w:hint="eastAsia" w:ascii="仿宋_GB2312" w:eastAsia="仿宋_GB2312"/>
                <w:sz w:val="21"/>
                <w:szCs w:val="2"/>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4E2530C2">
            <w:pPr>
              <w:snapToGrid w:val="0"/>
              <w:spacing w:line="240" w:lineRule="auto"/>
              <w:ind w:left="0" w:leftChars="0" w:right="0" w:rightChars="0" w:firstLine="0" w:firstLineChars="0"/>
              <w:jc w:val="both"/>
              <w:rPr>
                <w:rFonts w:hint="eastAsia" w:ascii="仿宋_GB2312" w:eastAsia="仿宋_GB2312"/>
                <w:sz w:val="21"/>
                <w:szCs w:val="2"/>
              </w:rPr>
            </w:pPr>
          </w:p>
        </w:tc>
        <w:tc>
          <w:tcPr>
            <w:tcW w:w="1281" w:type="dxa"/>
            <w:vMerge w:val="continue"/>
            <w:tcBorders>
              <w:top w:val="single" w:color="auto" w:sz="4" w:space="0"/>
              <w:left w:val="single" w:color="auto" w:sz="4" w:space="0"/>
              <w:bottom w:val="single" w:color="auto" w:sz="4" w:space="0"/>
              <w:right w:val="single" w:color="auto" w:sz="12" w:space="0"/>
            </w:tcBorders>
            <w:vAlign w:val="center"/>
          </w:tcPr>
          <w:p w14:paraId="211B1BFF">
            <w:pPr>
              <w:snapToGrid w:val="0"/>
              <w:spacing w:line="240" w:lineRule="auto"/>
              <w:ind w:left="0" w:leftChars="0" w:right="0" w:rightChars="0" w:firstLine="0" w:firstLineChars="0"/>
              <w:jc w:val="both"/>
              <w:rPr>
                <w:rFonts w:hint="eastAsia" w:ascii="仿宋_GB2312" w:eastAsia="仿宋_GB2312"/>
                <w:sz w:val="21"/>
                <w:szCs w:val="2"/>
              </w:rPr>
            </w:pPr>
          </w:p>
        </w:tc>
      </w:tr>
      <w:tr w14:paraId="1EE00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01" w:type="dxa"/>
            <w:vMerge w:val="continue"/>
            <w:tcBorders>
              <w:top w:val="single" w:color="auto" w:sz="4" w:space="0"/>
              <w:left w:val="single" w:color="auto" w:sz="12" w:space="0"/>
              <w:bottom w:val="single" w:color="auto" w:sz="4" w:space="0"/>
              <w:right w:val="single" w:color="auto" w:sz="4" w:space="0"/>
            </w:tcBorders>
            <w:vAlign w:val="center"/>
          </w:tcPr>
          <w:p w14:paraId="69C40DD0">
            <w:pPr>
              <w:snapToGrid w:val="0"/>
              <w:spacing w:line="240" w:lineRule="auto"/>
              <w:ind w:left="0" w:leftChars="0" w:right="0" w:rightChars="0" w:firstLine="0" w:firstLineChars="0"/>
              <w:jc w:val="center"/>
              <w:rPr>
                <w:rFonts w:hint="eastAsia" w:ascii="仿宋_GB2312" w:eastAsia="仿宋_GB2312"/>
                <w:sz w:val="21"/>
                <w:szCs w:val="2"/>
              </w:rPr>
            </w:pPr>
          </w:p>
        </w:tc>
        <w:tc>
          <w:tcPr>
            <w:tcW w:w="2450" w:type="dxa"/>
            <w:tcBorders>
              <w:top w:val="single" w:color="auto" w:sz="4" w:space="0"/>
              <w:left w:val="single" w:color="auto" w:sz="4" w:space="0"/>
              <w:bottom w:val="single" w:color="auto" w:sz="4" w:space="0"/>
              <w:right w:val="single" w:color="auto" w:sz="4" w:space="0"/>
            </w:tcBorders>
            <w:vAlign w:val="center"/>
          </w:tcPr>
          <w:p w14:paraId="54EB5013">
            <w:pPr>
              <w:pStyle w:val="41"/>
              <w:snapToGrid w:val="0"/>
              <w:spacing w:line="240" w:lineRule="auto"/>
              <w:ind w:left="0" w:leftChars="0" w:right="0" w:rightChars="0" w:firstLine="0" w:firstLineChars="0"/>
              <w:jc w:val="center"/>
              <w:rPr>
                <w:rFonts w:hint="default" w:ascii="仿宋_GB2312" w:eastAsia="仿宋_GB2312"/>
                <w:spacing w:val="-3"/>
                <w:sz w:val="21"/>
                <w:lang w:val="en-US" w:eastAsia="zh-CN"/>
              </w:rPr>
            </w:pPr>
            <w:r>
              <w:rPr>
                <w:rFonts w:hint="eastAsia" w:ascii="仿宋_GB2312" w:eastAsia="仿宋_GB2312"/>
                <w:spacing w:val="-3"/>
                <w:sz w:val="21"/>
                <w:lang w:val="en-US" w:eastAsia="zh-CN"/>
              </w:rPr>
              <w:t>内部交易对帐</w:t>
            </w: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7409A33D">
            <w:pPr>
              <w:snapToGrid w:val="0"/>
              <w:spacing w:line="240" w:lineRule="auto"/>
              <w:ind w:left="0" w:leftChars="0" w:right="0" w:rightChars="0" w:firstLine="0" w:firstLineChars="0"/>
              <w:jc w:val="center"/>
              <w:rPr>
                <w:rFonts w:hint="eastAsia" w:ascii="仿宋_GB2312" w:eastAsia="仿宋_GB2312"/>
                <w:sz w:val="21"/>
                <w:szCs w:val="2"/>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5FCA2973">
            <w:pPr>
              <w:snapToGrid w:val="0"/>
              <w:spacing w:line="240" w:lineRule="auto"/>
              <w:ind w:left="0" w:leftChars="0" w:right="0" w:rightChars="0" w:firstLine="0" w:firstLineChars="0"/>
              <w:jc w:val="both"/>
              <w:rPr>
                <w:rFonts w:hint="eastAsia" w:ascii="仿宋_GB2312" w:eastAsia="仿宋_GB2312"/>
                <w:sz w:val="21"/>
                <w:szCs w:val="2"/>
              </w:rPr>
            </w:pPr>
          </w:p>
        </w:tc>
        <w:tc>
          <w:tcPr>
            <w:tcW w:w="1281" w:type="dxa"/>
            <w:vMerge w:val="continue"/>
            <w:tcBorders>
              <w:top w:val="single" w:color="auto" w:sz="4" w:space="0"/>
              <w:left w:val="single" w:color="auto" w:sz="4" w:space="0"/>
              <w:bottom w:val="single" w:color="auto" w:sz="4" w:space="0"/>
              <w:right w:val="single" w:color="auto" w:sz="12" w:space="0"/>
            </w:tcBorders>
            <w:vAlign w:val="center"/>
          </w:tcPr>
          <w:p w14:paraId="04A83C40">
            <w:pPr>
              <w:snapToGrid w:val="0"/>
              <w:spacing w:line="240" w:lineRule="auto"/>
              <w:ind w:left="0" w:leftChars="0" w:right="0" w:rightChars="0" w:firstLine="0" w:firstLineChars="0"/>
              <w:jc w:val="both"/>
              <w:rPr>
                <w:rFonts w:hint="eastAsia" w:ascii="仿宋_GB2312" w:eastAsia="仿宋_GB2312"/>
                <w:sz w:val="21"/>
                <w:szCs w:val="2"/>
              </w:rPr>
            </w:pPr>
          </w:p>
        </w:tc>
      </w:tr>
      <w:tr w14:paraId="7C120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01" w:type="dxa"/>
            <w:vMerge w:val="continue"/>
            <w:tcBorders>
              <w:top w:val="single" w:color="auto" w:sz="4" w:space="0"/>
              <w:left w:val="single" w:color="auto" w:sz="12" w:space="0"/>
              <w:bottom w:val="single" w:color="auto" w:sz="4" w:space="0"/>
              <w:right w:val="single" w:color="auto" w:sz="4" w:space="0"/>
            </w:tcBorders>
            <w:vAlign w:val="center"/>
          </w:tcPr>
          <w:p w14:paraId="3143AB87">
            <w:pPr>
              <w:snapToGrid w:val="0"/>
              <w:spacing w:line="240" w:lineRule="auto"/>
              <w:ind w:left="0" w:leftChars="0" w:right="0" w:rightChars="0" w:firstLine="0" w:firstLineChars="0"/>
              <w:jc w:val="center"/>
              <w:rPr>
                <w:rFonts w:hint="eastAsia" w:ascii="仿宋_GB2312" w:eastAsia="仿宋_GB2312"/>
                <w:sz w:val="21"/>
                <w:szCs w:val="2"/>
              </w:rPr>
            </w:pPr>
          </w:p>
        </w:tc>
        <w:tc>
          <w:tcPr>
            <w:tcW w:w="2450" w:type="dxa"/>
            <w:tcBorders>
              <w:top w:val="single" w:color="auto" w:sz="4" w:space="0"/>
              <w:left w:val="single" w:color="auto" w:sz="4" w:space="0"/>
              <w:bottom w:val="single" w:color="auto" w:sz="4" w:space="0"/>
              <w:right w:val="single" w:color="auto" w:sz="4" w:space="0"/>
            </w:tcBorders>
            <w:vAlign w:val="center"/>
          </w:tcPr>
          <w:p w14:paraId="5372B13D">
            <w:pPr>
              <w:pStyle w:val="41"/>
              <w:snapToGrid w:val="0"/>
              <w:spacing w:line="240" w:lineRule="auto"/>
              <w:ind w:left="0" w:leftChars="0" w:right="0" w:rightChars="0" w:firstLine="0" w:firstLineChars="0"/>
              <w:jc w:val="center"/>
              <w:rPr>
                <w:rFonts w:hint="eastAsia" w:ascii="仿宋_GB2312" w:eastAsia="仿宋_GB2312"/>
                <w:sz w:val="21"/>
                <w:lang w:eastAsia="zh-CN"/>
              </w:rPr>
            </w:pPr>
            <w:r>
              <w:rPr>
                <w:rFonts w:hint="eastAsia" w:ascii="仿宋_GB2312" w:eastAsia="仿宋_GB2312"/>
                <w:spacing w:val="-3"/>
                <w:sz w:val="21"/>
                <w:lang w:val="en-US" w:eastAsia="zh-CN"/>
              </w:rPr>
              <w:t>财务报表</w:t>
            </w: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2CF34A28">
            <w:pPr>
              <w:snapToGrid w:val="0"/>
              <w:spacing w:line="240" w:lineRule="auto"/>
              <w:ind w:left="0" w:leftChars="0" w:right="0" w:rightChars="0" w:firstLine="0" w:firstLineChars="0"/>
              <w:jc w:val="center"/>
              <w:rPr>
                <w:rFonts w:hint="eastAsia" w:ascii="仿宋_GB2312" w:eastAsia="仿宋_GB2312"/>
                <w:sz w:val="21"/>
                <w:szCs w:val="2"/>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68A31577">
            <w:pPr>
              <w:snapToGrid w:val="0"/>
              <w:spacing w:line="240" w:lineRule="auto"/>
              <w:ind w:left="0" w:leftChars="0" w:right="0" w:rightChars="0" w:firstLine="0" w:firstLineChars="0"/>
              <w:jc w:val="both"/>
              <w:rPr>
                <w:rFonts w:hint="eastAsia" w:ascii="仿宋_GB2312" w:eastAsia="仿宋_GB2312"/>
                <w:sz w:val="21"/>
                <w:szCs w:val="2"/>
              </w:rPr>
            </w:pPr>
          </w:p>
        </w:tc>
        <w:tc>
          <w:tcPr>
            <w:tcW w:w="1281" w:type="dxa"/>
            <w:vMerge w:val="continue"/>
            <w:tcBorders>
              <w:top w:val="single" w:color="auto" w:sz="4" w:space="0"/>
              <w:left w:val="single" w:color="auto" w:sz="4" w:space="0"/>
              <w:bottom w:val="single" w:color="auto" w:sz="4" w:space="0"/>
              <w:right w:val="single" w:color="auto" w:sz="12" w:space="0"/>
            </w:tcBorders>
            <w:vAlign w:val="center"/>
          </w:tcPr>
          <w:p w14:paraId="16528CE9">
            <w:pPr>
              <w:snapToGrid w:val="0"/>
              <w:spacing w:line="240" w:lineRule="auto"/>
              <w:ind w:left="0" w:leftChars="0" w:right="0" w:rightChars="0" w:firstLine="0" w:firstLineChars="0"/>
              <w:jc w:val="both"/>
              <w:rPr>
                <w:rFonts w:hint="eastAsia" w:ascii="仿宋_GB2312" w:eastAsia="仿宋_GB2312"/>
                <w:sz w:val="21"/>
                <w:szCs w:val="2"/>
              </w:rPr>
            </w:pPr>
          </w:p>
        </w:tc>
      </w:tr>
      <w:tr w14:paraId="5ED13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01" w:type="dxa"/>
            <w:vMerge w:val="restart"/>
            <w:tcBorders>
              <w:top w:val="single" w:color="auto" w:sz="4" w:space="0"/>
              <w:left w:val="single" w:color="auto" w:sz="12" w:space="0"/>
              <w:bottom w:val="single" w:color="auto" w:sz="4" w:space="0"/>
              <w:right w:val="single" w:color="auto" w:sz="4" w:space="0"/>
            </w:tcBorders>
            <w:vAlign w:val="center"/>
          </w:tcPr>
          <w:p w14:paraId="35BF1D82">
            <w:pPr>
              <w:snapToGrid w:val="0"/>
              <w:spacing w:line="240" w:lineRule="auto"/>
              <w:ind w:left="0" w:leftChars="0" w:right="0" w:rightChars="0" w:firstLine="0" w:firstLineChars="0"/>
              <w:jc w:val="center"/>
              <w:rPr>
                <w:rFonts w:hint="default" w:ascii="仿宋_GB2312" w:hAnsi="宋体" w:eastAsia="仿宋_GB2312" w:cs="宋体"/>
                <w:sz w:val="21"/>
                <w:szCs w:val="22"/>
                <w:lang w:val="en-US" w:eastAsia="zh-CN" w:bidi="ar-SA"/>
              </w:rPr>
            </w:pPr>
            <w:r>
              <w:rPr>
                <w:rFonts w:hint="eastAsia" w:ascii="仿宋_GB2312" w:hAnsi="宋体" w:eastAsia="仿宋_GB2312" w:cs="宋体"/>
                <w:sz w:val="21"/>
                <w:szCs w:val="22"/>
                <w:lang w:val="en-US" w:eastAsia="zh-CN" w:bidi="ar-SA"/>
              </w:rPr>
              <w:t>报表及财务分析</w:t>
            </w:r>
          </w:p>
        </w:tc>
        <w:tc>
          <w:tcPr>
            <w:tcW w:w="2450" w:type="dxa"/>
            <w:tcBorders>
              <w:top w:val="single" w:color="auto" w:sz="4" w:space="0"/>
              <w:left w:val="single" w:color="auto" w:sz="4" w:space="0"/>
              <w:bottom w:val="single" w:color="auto" w:sz="4" w:space="0"/>
              <w:right w:val="single" w:color="auto" w:sz="4" w:space="0"/>
            </w:tcBorders>
            <w:vAlign w:val="center"/>
          </w:tcPr>
          <w:p w14:paraId="133847E0">
            <w:pPr>
              <w:pStyle w:val="41"/>
              <w:snapToGrid w:val="0"/>
              <w:spacing w:line="240" w:lineRule="auto"/>
              <w:ind w:left="0" w:leftChars="0" w:right="0" w:rightChars="0" w:firstLine="0" w:firstLineChars="0"/>
              <w:jc w:val="center"/>
              <w:rPr>
                <w:rFonts w:hint="default" w:ascii="仿宋_GB2312" w:eastAsia="仿宋_GB2312"/>
                <w:spacing w:val="-3"/>
                <w:sz w:val="21"/>
                <w:lang w:val="en-US" w:eastAsia="zh-CN"/>
              </w:rPr>
            </w:pPr>
            <w:r>
              <w:rPr>
                <w:rFonts w:hint="eastAsia" w:ascii="仿宋_GB2312" w:eastAsia="仿宋_GB2312"/>
                <w:spacing w:val="-3"/>
                <w:sz w:val="21"/>
                <w:lang w:val="en-US" w:eastAsia="zh-CN"/>
              </w:rPr>
              <w:t>合并报表</w:t>
            </w: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051DAA0F">
            <w:pPr>
              <w:snapToGrid w:val="0"/>
              <w:spacing w:line="240" w:lineRule="auto"/>
              <w:ind w:left="0" w:leftChars="0" w:right="0" w:rightChars="0" w:firstLine="0" w:firstLineChars="0"/>
              <w:jc w:val="center"/>
              <w:rPr>
                <w:rFonts w:hint="eastAsia" w:ascii="仿宋_GB2312" w:eastAsia="仿宋_GB2312"/>
                <w:sz w:val="21"/>
                <w:szCs w:val="2"/>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44EB25F0">
            <w:pPr>
              <w:snapToGrid w:val="0"/>
              <w:spacing w:line="240" w:lineRule="auto"/>
              <w:ind w:left="0" w:leftChars="0" w:right="0" w:rightChars="0" w:firstLine="0" w:firstLineChars="0"/>
              <w:jc w:val="both"/>
              <w:rPr>
                <w:rFonts w:hint="eastAsia" w:ascii="仿宋_GB2312" w:eastAsia="仿宋_GB2312"/>
                <w:sz w:val="21"/>
                <w:szCs w:val="2"/>
              </w:rPr>
            </w:pPr>
          </w:p>
        </w:tc>
        <w:tc>
          <w:tcPr>
            <w:tcW w:w="1281" w:type="dxa"/>
            <w:vMerge w:val="continue"/>
            <w:tcBorders>
              <w:top w:val="single" w:color="auto" w:sz="4" w:space="0"/>
              <w:left w:val="single" w:color="auto" w:sz="4" w:space="0"/>
              <w:bottom w:val="single" w:color="auto" w:sz="4" w:space="0"/>
              <w:right w:val="single" w:color="auto" w:sz="12" w:space="0"/>
            </w:tcBorders>
            <w:vAlign w:val="center"/>
          </w:tcPr>
          <w:p w14:paraId="23F07473">
            <w:pPr>
              <w:snapToGrid w:val="0"/>
              <w:spacing w:line="240" w:lineRule="auto"/>
              <w:ind w:left="0" w:leftChars="0" w:right="0" w:rightChars="0" w:firstLine="0" w:firstLineChars="0"/>
              <w:jc w:val="both"/>
              <w:rPr>
                <w:rFonts w:hint="eastAsia" w:ascii="仿宋_GB2312" w:eastAsia="仿宋_GB2312"/>
                <w:sz w:val="21"/>
                <w:szCs w:val="2"/>
              </w:rPr>
            </w:pPr>
          </w:p>
        </w:tc>
      </w:tr>
      <w:tr w14:paraId="1515F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01" w:type="dxa"/>
            <w:vMerge w:val="continue"/>
            <w:tcBorders>
              <w:top w:val="single" w:color="auto" w:sz="4" w:space="0"/>
              <w:left w:val="single" w:color="auto" w:sz="12" w:space="0"/>
              <w:bottom w:val="single" w:color="auto" w:sz="4" w:space="0"/>
              <w:right w:val="single" w:color="auto" w:sz="4" w:space="0"/>
            </w:tcBorders>
            <w:vAlign w:val="center"/>
          </w:tcPr>
          <w:p w14:paraId="1456A58D">
            <w:pPr>
              <w:bidi w:val="0"/>
              <w:snapToGrid w:val="0"/>
              <w:spacing w:line="240" w:lineRule="auto"/>
              <w:ind w:left="0" w:leftChars="0" w:right="0" w:rightChars="0" w:firstLine="0" w:firstLineChars="0"/>
              <w:jc w:val="center"/>
              <w:rPr>
                <w:rFonts w:hint="default" w:ascii="仿宋_GB2312" w:hAnsi="宋体" w:eastAsia="仿宋_GB2312" w:cs="宋体"/>
                <w:sz w:val="21"/>
                <w:szCs w:val="22"/>
                <w:lang w:val="en-US" w:eastAsia="zh-CN" w:bidi="ar-SA"/>
              </w:rPr>
            </w:pPr>
          </w:p>
        </w:tc>
        <w:tc>
          <w:tcPr>
            <w:tcW w:w="2450" w:type="dxa"/>
            <w:tcBorders>
              <w:top w:val="single" w:color="auto" w:sz="4" w:space="0"/>
              <w:left w:val="single" w:color="auto" w:sz="4" w:space="0"/>
              <w:bottom w:val="single" w:color="auto" w:sz="4" w:space="0"/>
              <w:right w:val="single" w:color="auto" w:sz="4" w:space="0"/>
            </w:tcBorders>
            <w:vAlign w:val="center"/>
          </w:tcPr>
          <w:p w14:paraId="753E5230">
            <w:pPr>
              <w:pStyle w:val="41"/>
              <w:snapToGrid w:val="0"/>
              <w:spacing w:line="240" w:lineRule="auto"/>
              <w:ind w:left="0" w:leftChars="0" w:right="0" w:rightChars="0" w:firstLine="0" w:firstLineChars="0"/>
              <w:jc w:val="center"/>
              <w:rPr>
                <w:rFonts w:hint="default" w:ascii="仿宋_GB2312" w:eastAsia="仿宋_GB2312"/>
                <w:spacing w:val="-3"/>
                <w:sz w:val="21"/>
                <w:lang w:val="en-US" w:eastAsia="zh-CN"/>
              </w:rPr>
            </w:pPr>
            <w:r>
              <w:rPr>
                <w:rFonts w:hint="eastAsia" w:ascii="仿宋_GB2312" w:eastAsia="仿宋_GB2312"/>
                <w:spacing w:val="-3"/>
                <w:sz w:val="21"/>
                <w:lang w:val="en-US" w:eastAsia="zh-CN"/>
              </w:rPr>
              <w:t>披露管理</w:t>
            </w: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5315C89C">
            <w:pPr>
              <w:snapToGrid w:val="0"/>
              <w:spacing w:line="240" w:lineRule="auto"/>
              <w:ind w:left="0" w:leftChars="0" w:right="0" w:rightChars="0" w:firstLine="0" w:firstLineChars="0"/>
              <w:jc w:val="center"/>
              <w:rPr>
                <w:rFonts w:hint="eastAsia" w:ascii="仿宋_GB2312" w:eastAsia="仿宋_GB2312"/>
                <w:sz w:val="21"/>
                <w:szCs w:val="2"/>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22E54219">
            <w:pPr>
              <w:snapToGrid w:val="0"/>
              <w:spacing w:line="240" w:lineRule="auto"/>
              <w:ind w:left="0" w:leftChars="0" w:right="0" w:rightChars="0" w:firstLine="0" w:firstLineChars="0"/>
              <w:jc w:val="both"/>
              <w:rPr>
                <w:rFonts w:hint="eastAsia" w:ascii="仿宋_GB2312" w:eastAsia="仿宋_GB2312"/>
                <w:sz w:val="21"/>
                <w:szCs w:val="2"/>
              </w:rPr>
            </w:pPr>
          </w:p>
        </w:tc>
        <w:tc>
          <w:tcPr>
            <w:tcW w:w="1281" w:type="dxa"/>
            <w:vMerge w:val="continue"/>
            <w:tcBorders>
              <w:top w:val="single" w:color="auto" w:sz="4" w:space="0"/>
              <w:left w:val="single" w:color="auto" w:sz="4" w:space="0"/>
              <w:bottom w:val="single" w:color="auto" w:sz="4" w:space="0"/>
              <w:right w:val="single" w:color="auto" w:sz="12" w:space="0"/>
            </w:tcBorders>
            <w:vAlign w:val="center"/>
          </w:tcPr>
          <w:p w14:paraId="3DCBF5BD">
            <w:pPr>
              <w:snapToGrid w:val="0"/>
              <w:spacing w:line="240" w:lineRule="auto"/>
              <w:ind w:left="0" w:leftChars="0" w:right="0" w:rightChars="0" w:firstLine="0" w:firstLineChars="0"/>
              <w:jc w:val="both"/>
              <w:rPr>
                <w:rFonts w:hint="eastAsia" w:ascii="仿宋_GB2312" w:eastAsia="仿宋_GB2312"/>
                <w:sz w:val="21"/>
                <w:szCs w:val="2"/>
              </w:rPr>
            </w:pPr>
          </w:p>
        </w:tc>
      </w:tr>
      <w:tr w14:paraId="6046F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01" w:type="dxa"/>
            <w:vMerge w:val="continue"/>
            <w:tcBorders>
              <w:top w:val="single" w:color="auto" w:sz="4" w:space="0"/>
              <w:left w:val="single" w:color="auto" w:sz="12" w:space="0"/>
              <w:bottom w:val="single" w:color="auto" w:sz="4" w:space="0"/>
              <w:right w:val="single" w:color="auto" w:sz="4" w:space="0"/>
            </w:tcBorders>
            <w:vAlign w:val="center"/>
          </w:tcPr>
          <w:p w14:paraId="1797E40C">
            <w:pPr>
              <w:snapToGrid w:val="0"/>
              <w:spacing w:line="240" w:lineRule="auto"/>
              <w:ind w:left="0" w:leftChars="0" w:right="0" w:rightChars="0" w:firstLine="0" w:firstLineChars="0"/>
              <w:jc w:val="center"/>
              <w:rPr>
                <w:rFonts w:hint="eastAsia" w:ascii="仿宋_GB2312" w:eastAsia="仿宋_GB2312"/>
                <w:sz w:val="21"/>
                <w:szCs w:val="2"/>
              </w:rPr>
            </w:pPr>
          </w:p>
        </w:tc>
        <w:tc>
          <w:tcPr>
            <w:tcW w:w="2450" w:type="dxa"/>
            <w:tcBorders>
              <w:top w:val="single" w:color="auto" w:sz="4" w:space="0"/>
              <w:left w:val="single" w:color="auto" w:sz="4" w:space="0"/>
              <w:bottom w:val="single" w:color="auto" w:sz="4" w:space="0"/>
              <w:right w:val="single" w:color="auto" w:sz="4" w:space="0"/>
            </w:tcBorders>
            <w:vAlign w:val="center"/>
          </w:tcPr>
          <w:p w14:paraId="1DD23E7A">
            <w:pPr>
              <w:pStyle w:val="41"/>
              <w:snapToGrid w:val="0"/>
              <w:spacing w:line="240" w:lineRule="auto"/>
              <w:ind w:left="0" w:leftChars="0" w:right="0" w:rightChars="0" w:firstLine="0" w:firstLineChars="0"/>
              <w:jc w:val="center"/>
              <w:rPr>
                <w:rFonts w:hint="default" w:ascii="仿宋_GB2312" w:eastAsia="仿宋_GB2312"/>
                <w:spacing w:val="-3"/>
                <w:sz w:val="21"/>
                <w:lang w:val="en-US" w:eastAsia="zh-CN"/>
              </w:rPr>
            </w:pPr>
            <w:r>
              <w:rPr>
                <w:rFonts w:hint="default" w:ascii="仿宋_GB2312" w:eastAsia="仿宋_GB2312"/>
                <w:spacing w:val="-3"/>
                <w:sz w:val="21"/>
                <w:lang w:val="en-US" w:eastAsia="zh-CN"/>
              </w:rPr>
              <w:t>EPM</w:t>
            </w:r>
          </w:p>
        </w:tc>
        <w:tc>
          <w:tcPr>
            <w:tcW w:w="1450" w:type="dxa"/>
            <w:vMerge w:val="continue"/>
            <w:tcBorders>
              <w:top w:val="single" w:color="auto" w:sz="4" w:space="0"/>
              <w:left w:val="single" w:color="auto" w:sz="4" w:space="0"/>
              <w:bottom w:val="single" w:color="auto" w:sz="4" w:space="0"/>
              <w:right w:val="single" w:color="auto" w:sz="4" w:space="0"/>
            </w:tcBorders>
            <w:vAlign w:val="center"/>
          </w:tcPr>
          <w:p w14:paraId="468468B1">
            <w:pPr>
              <w:snapToGrid w:val="0"/>
              <w:spacing w:line="240" w:lineRule="auto"/>
              <w:ind w:left="0" w:leftChars="0" w:right="0" w:rightChars="0" w:firstLine="0" w:firstLineChars="0"/>
              <w:jc w:val="center"/>
              <w:rPr>
                <w:rFonts w:hint="eastAsia" w:ascii="仿宋_GB2312" w:eastAsia="仿宋_GB2312"/>
                <w:sz w:val="21"/>
                <w:szCs w:val="2"/>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1DA3929E">
            <w:pPr>
              <w:snapToGrid w:val="0"/>
              <w:spacing w:line="240" w:lineRule="auto"/>
              <w:ind w:left="0" w:leftChars="0" w:right="0" w:rightChars="0" w:firstLine="0" w:firstLineChars="0"/>
              <w:jc w:val="both"/>
              <w:rPr>
                <w:rFonts w:hint="eastAsia" w:ascii="仿宋_GB2312" w:eastAsia="仿宋_GB2312"/>
                <w:sz w:val="21"/>
                <w:szCs w:val="2"/>
              </w:rPr>
            </w:pPr>
          </w:p>
        </w:tc>
        <w:tc>
          <w:tcPr>
            <w:tcW w:w="1281" w:type="dxa"/>
            <w:vMerge w:val="continue"/>
            <w:tcBorders>
              <w:top w:val="single" w:color="auto" w:sz="4" w:space="0"/>
              <w:left w:val="single" w:color="auto" w:sz="4" w:space="0"/>
              <w:bottom w:val="single" w:color="auto" w:sz="4" w:space="0"/>
              <w:right w:val="single" w:color="auto" w:sz="12" w:space="0"/>
            </w:tcBorders>
            <w:vAlign w:val="center"/>
          </w:tcPr>
          <w:p w14:paraId="643F7655">
            <w:pPr>
              <w:snapToGrid w:val="0"/>
              <w:spacing w:line="240" w:lineRule="auto"/>
              <w:ind w:left="0" w:leftChars="0" w:right="0" w:rightChars="0" w:firstLine="0" w:firstLineChars="0"/>
              <w:jc w:val="both"/>
              <w:rPr>
                <w:rFonts w:hint="eastAsia" w:ascii="仿宋_GB2312" w:eastAsia="仿宋_GB2312"/>
                <w:sz w:val="21"/>
                <w:szCs w:val="2"/>
              </w:rPr>
            </w:pPr>
          </w:p>
        </w:tc>
      </w:tr>
      <w:tr w14:paraId="0C857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01" w:type="dxa"/>
            <w:vMerge w:val="restart"/>
            <w:tcBorders>
              <w:top w:val="single" w:color="auto" w:sz="4" w:space="0"/>
              <w:left w:val="single" w:color="auto" w:sz="12" w:space="0"/>
              <w:bottom w:val="single" w:color="auto" w:sz="4" w:space="0"/>
              <w:right w:val="single" w:color="auto" w:sz="4" w:space="0"/>
            </w:tcBorders>
            <w:vAlign w:val="center"/>
          </w:tcPr>
          <w:p w14:paraId="614414B8">
            <w:pPr>
              <w:pStyle w:val="41"/>
              <w:snapToGrid w:val="0"/>
              <w:spacing w:line="240" w:lineRule="auto"/>
              <w:ind w:left="0" w:leftChars="0" w:right="0" w:rightChars="0" w:firstLine="0" w:firstLineChars="0"/>
              <w:jc w:val="center"/>
              <w:rPr>
                <w:rFonts w:hint="eastAsia" w:ascii="仿宋_GB2312" w:eastAsia="仿宋_GB2312"/>
                <w:sz w:val="21"/>
              </w:rPr>
            </w:pPr>
            <w:r>
              <w:rPr>
                <w:rFonts w:ascii="仿宋_GB2312" w:eastAsia="仿宋_GB2312"/>
                <w:spacing w:val="-1"/>
                <w:sz w:val="21"/>
              </w:rPr>
              <w:t>财务</w:t>
            </w:r>
          </w:p>
        </w:tc>
        <w:tc>
          <w:tcPr>
            <w:tcW w:w="2450" w:type="dxa"/>
            <w:tcBorders>
              <w:top w:val="single" w:color="auto" w:sz="4" w:space="0"/>
              <w:left w:val="single" w:color="auto" w:sz="4" w:space="0"/>
              <w:bottom w:val="single" w:color="auto" w:sz="4" w:space="0"/>
              <w:right w:val="single" w:color="auto" w:sz="4" w:space="0"/>
            </w:tcBorders>
            <w:vAlign w:val="center"/>
          </w:tcPr>
          <w:p w14:paraId="76253360">
            <w:pPr>
              <w:pStyle w:val="41"/>
              <w:snapToGrid w:val="0"/>
              <w:spacing w:line="240" w:lineRule="auto"/>
              <w:ind w:left="0" w:leftChars="0" w:right="0" w:rightChars="0" w:firstLine="0" w:firstLineChars="0"/>
              <w:jc w:val="center"/>
              <w:rPr>
                <w:rFonts w:hint="default" w:ascii="仿宋_GB2312" w:eastAsia="仿宋_GB2312"/>
                <w:sz w:val="21"/>
                <w:lang w:val="en-US" w:eastAsia="zh-CN"/>
              </w:rPr>
            </w:pPr>
            <w:r>
              <w:rPr>
                <w:rFonts w:hint="eastAsia" w:ascii="仿宋_GB2312" w:eastAsia="仿宋_GB2312"/>
                <w:sz w:val="21"/>
                <w:lang w:val="en-US" w:eastAsia="zh-CN"/>
              </w:rPr>
              <w:t>多核算体系</w:t>
            </w:r>
          </w:p>
        </w:tc>
        <w:tc>
          <w:tcPr>
            <w:tcW w:w="1450" w:type="dxa"/>
            <w:tcBorders>
              <w:top w:val="single" w:color="auto" w:sz="4" w:space="0"/>
              <w:left w:val="single" w:color="auto" w:sz="4" w:space="0"/>
              <w:bottom w:val="single" w:color="auto" w:sz="4" w:space="0"/>
              <w:right w:val="single" w:color="auto" w:sz="4" w:space="0"/>
            </w:tcBorders>
            <w:vAlign w:val="center"/>
          </w:tcPr>
          <w:p w14:paraId="510D7155">
            <w:pPr>
              <w:pStyle w:val="41"/>
              <w:snapToGrid w:val="0"/>
              <w:spacing w:line="240" w:lineRule="auto"/>
              <w:ind w:left="0" w:leftChars="0" w:right="0" w:rightChars="0" w:firstLine="0" w:firstLineChars="0"/>
              <w:jc w:val="center"/>
              <w:rPr>
                <w:rFonts w:hint="eastAsia" w:ascii="仿宋_GB2312" w:eastAsia="仿宋_GB2312"/>
                <w:sz w:val="21"/>
                <w:lang w:eastAsia="zh-CN"/>
              </w:rPr>
            </w:pPr>
            <w:r>
              <w:rPr>
                <w:rFonts w:hint="eastAsia" w:ascii="仿宋_GB2312" w:eastAsia="仿宋_GB2312"/>
                <w:spacing w:val="-5"/>
                <w:sz w:val="21"/>
                <w:lang w:val="en-US" w:eastAsia="zh-CN"/>
              </w:rPr>
              <w:t>1</w:t>
            </w:r>
          </w:p>
        </w:tc>
        <w:tc>
          <w:tcPr>
            <w:tcW w:w="1065" w:type="dxa"/>
            <w:tcBorders>
              <w:top w:val="single" w:color="auto" w:sz="4" w:space="0"/>
              <w:left w:val="single" w:color="auto" w:sz="4" w:space="0"/>
              <w:bottom w:val="single" w:color="auto" w:sz="4" w:space="0"/>
              <w:right w:val="single" w:color="auto" w:sz="4" w:space="0"/>
            </w:tcBorders>
            <w:vAlign w:val="center"/>
          </w:tcPr>
          <w:p w14:paraId="19B7ADF7">
            <w:pPr>
              <w:pStyle w:val="41"/>
              <w:snapToGrid w:val="0"/>
              <w:spacing w:line="240" w:lineRule="auto"/>
              <w:ind w:left="0" w:leftChars="0" w:right="0" w:rightChars="0" w:firstLine="0" w:firstLineChars="0"/>
              <w:jc w:val="both"/>
              <w:rPr>
                <w:rFonts w:hint="eastAsia" w:ascii="仿宋_GB2312" w:eastAsia="仿宋_GB2312"/>
                <w:spacing w:val="-5"/>
                <w:sz w:val="21"/>
                <w:lang w:val="en-US" w:eastAsia="zh-CN"/>
              </w:rPr>
            </w:pPr>
          </w:p>
        </w:tc>
        <w:tc>
          <w:tcPr>
            <w:tcW w:w="1281" w:type="dxa"/>
            <w:tcBorders>
              <w:top w:val="single" w:color="auto" w:sz="4" w:space="0"/>
              <w:left w:val="single" w:color="auto" w:sz="4" w:space="0"/>
              <w:bottom w:val="single" w:color="auto" w:sz="4" w:space="0"/>
              <w:right w:val="single" w:color="auto" w:sz="12" w:space="0"/>
            </w:tcBorders>
            <w:vAlign w:val="center"/>
          </w:tcPr>
          <w:p w14:paraId="7BA06B0D">
            <w:pPr>
              <w:pStyle w:val="41"/>
              <w:snapToGrid w:val="0"/>
              <w:spacing w:line="240" w:lineRule="auto"/>
              <w:ind w:left="0" w:leftChars="0" w:right="0" w:rightChars="0" w:firstLine="0" w:firstLineChars="0"/>
              <w:jc w:val="both"/>
              <w:rPr>
                <w:rFonts w:hint="eastAsia" w:ascii="仿宋_GB2312" w:eastAsia="仿宋_GB2312"/>
                <w:spacing w:val="-5"/>
                <w:sz w:val="21"/>
                <w:lang w:val="en-US" w:eastAsia="zh-CN"/>
              </w:rPr>
            </w:pPr>
          </w:p>
        </w:tc>
      </w:tr>
      <w:tr w14:paraId="77AA8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01" w:type="dxa"/>
            <w:vMerge w:val="continue"/>
            <w:tcBorders>
              <w:top w:val="single" w:color="auto" w:sz="4" w:space="0"/>
              <w:left w:val="single" w:color="auto" w:sz="12" w:space="0"/>
              <w:bottom w:val="single" w:color="auto" w:sz="4" w:space="0"/>
              <w:right w:val="single" w:color="auto" w:sz="4" w:space="0"/>
            </w:tcBorders>
            <w:vAlign w:val="center"/>
          </w:tcPr>
          <w:p w14:paraId="2280D56E">
            <w:pPr>
              <w:pStyle w:val="41"/>
              <w:snapToGrid w:val="0"/>
              <w:spacing w:line="240" w:lineRule="auto"/>
              <w:ind w:left="0" w:leftChars="0" w:right="0" w:rightChars="0" w:firstLine="0" w:firstLineChars="0"/>
              <w:jc w:val="center"/>
              <w:rPr>
                <w:rFonts w:ascii="仿宋_GB2312" w:eastAsia="仿宋_GB2312"/>
                <w:spacing w:val="-1"/>
                <w:sz w:val="21"/>
              </w:rPr>
            </w:pPr>
          </w:p>
        </w:tc>
        <w:tc>
          <w:tcPr>
            <w:tcW w:w="2450" w:type="dxa"/>
            <w:tcBorders>
              <w:top w:val="single" w:color="auto" w:sz="4" w:space="0"/>
              <w:left w:val="single" w:color="auto" w:sz="4" w:space="0"/>
              <w:bottom w:val="single" w:color="auto" w:sz="4" w:space="0"/>
              <w:right w:val="single" w:color="auto" w:sz="4" w:space="0"/>
            </w:tcBorders>
            <w:vAlign w:val="center"/>
          </w:tcPr>
          <w:p w14:paraId="64E74EBE">
            <w:pPr>
              <w:pStyle w:val="41"/>
              <w:snapToGrid w:val="0"/>
              <w:spacing w:line="240" w:lineRule="auto"/>
              <w:ind w:left="0" w:leftChars="0" w:right="0" w:rightChars="0" w:firstLine="0" w:firstLineChars="0"/>
              <w:jc w:val="center"/>
              <w:rPr>
                <w:rFonts w:hint="default" w:ascii="仿宋_GB2312" w:eastAsia="仿宋_GB2312"/>
                <w:sz w:val="21"/>
                <w:lang w:val="en-US" w:eastAsia="zh-CN"/>
              </w:rPr>
            </w:pPr>
            <w:r>
              <w:rPr>
                <w:rFonts w:hint="eastAsia" w:ascii="仿宋_GB2312" w:eastAsia="仿宋_GB2312"/>
                <w:sz w:val="21"/>
                <w:lang w:val="en-US" w:eastAsia="zh-CN"/>
              </w:rPr>
              <w:t>智能核算机器人</w:t>
            </w:r>
          </w:p>
        </w:tc>
        <w:tc>
          <w:tcPr>
            <w:tcW w:w="1450" w:type="dxa"/>
            <w:tcBorders>
              <w:top w:val="single" w:color="auto" w:sz="4" w:space="0"/>
              <w:left w:val="single" w:color="auto" w:sz="4" w:space="0"/>
              <w:bottom w:val="single" w:color="auto" w:sz="4" w:space="0"/>
              <w:right w:val="single" w:color="auto" w:sz="4" w:space="0"/>
            </w:tcBorders>
            <w:vAlign w:val="center"/>
          </w:tcPr>
          <w:p w14:paraId="07FAD705">
            <w:pPr>
              <w:pStyle w:val="41"/>
              <w:snapToGrid w:val="0"/>
              <w:spacing w:line="240" w:lineRule="auto"/>
              <w:ind w:left="0" w:leftChars="0" w:right="0" w:rightChars="0" w:firstLine="0" w:firstLineChars="0"/>
              <w:jc w:val="center"/>
              <w:rPr>
                <w:rFonts w:hint="default" w:ascii="仿宋_GB2312" w:eastAsia="仿宋_GB2312"/>
                <w:spacing w:val="-5"/>
                <w:sz w:val="21"/>
                <w:lang w:val="en-US" w:eastAsia="zh-CN"/>
              </w:rPr>
            </w:pPr>
            <w:r>
              <w:rPr>
                <w:rFonts w:hint="eastAsia" w:ascii="仿宋_GB2312" w:eastAsia="仿宋_GB2312"/>
                <w:spacing w:val="-5"/>
                <w:sz w:val="21"/>
                <w:lang w:val="en-US" w:eastAsia="zh-CN"/>
              </w:rPr>
              <w:t>1</w:t>
            </w:r>
          </w:p>
        </w:tc>
        <w:tc>
          <w:tcPr>
            <w:tcW w:w="1065" w:type="dxa"/>
            <w:tcBorders>
              <w:top w:val="single" w:color="auto" w:sz="4" w:space="0"/>
              <w:left w:val="single" w:color="auto" w:sz="4" w:space="0"/>
              <w:bottom w:val="single" w:color="auto" w:sz="4" w:space="0"/>
              <w:right w:val="single" w:color="auto" w:sz="4" w:space="0"/>
            </w:tcBorders>
            <w:vAlign w:val="center"/>
          </w:tcPr>
          <w:p w14:paraId="464A7157">
            <w:pPr>
              <w:pStyle w:val="41"/>
              <w:snapToGrid w:val="0"/>
              <w:spacing w:line="240" w:lineRule="auto"/>
              <w:ind w:left="0" w:leftChars="0" w:right="0" w:rightChars="0" w:firstLine="0" w:firstLineChars="0"/>
              <w:jc w:val="both"/>
              <w:rPr>
                <w:rFonts w:hint="eastAsia" w:ascii="仿宋_GB2312" w:eastAsia="仿宋_GB2312"/>
                <w:spacing w:val="-5"/>
                <w:sz w:val="21"/>
                <w:lang w:val="en-US" w:eastAsia="zh-CN"/>
              </w:rPr>
            </w:pPr>
          </w:p>
        </w:tc>
        <w:tc>
          <w:tcPr>
            <w:tcW w:w="1281" w:type="dxa"/>
            <w:tcBorders>
              <w:top w:val="single" w:color="auto" w:sz="4" w:space="0"/>
              <w:left w:val="single" w:color="auto" w:sz="4" w:space="0"/>
              <w:bottom w:val="single" w:color="auto" w:sz="4" w:space="0"/>
              <w:right w:val="single" w:color="auto" w:sz="12" w:space="0"/>
            </w:tcBorders>
            <w:vAlign w:val="center"/>
          </w:tcPr>
          <w:p w14:paraId="44692C30">
            <w:pPr>
              <w:pStyle w:val="41"/>
              <w:snapToGrid w:val="0"/>
              <w:spacing w:line="240" w:lineRule="auto"/>
              <w:ind w:left="0" w:leftChars="0" w:right="0" w:rightChars="0" w:firstLine="0" w:firstLineChars="0"/>
              <w:jc w:val="both"/>
              <w:rPr>
                <w:rFonts w:hint="eastAsia" w:ascii="仿宋_GB2312" w:eastAsia="仿宋_GB2312"/>
                <w:spacing w:val="-5"/>
                <w:sz w:val="21"/>
                <w:lang w:val="en-US" w:eastAsia="zh-CN"/>
              </w:rPr>
            </w:pPr>
          </w:p>
        </w:tc>
      </w:tr>
      <w:tr w14:paraId="15EC4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01" w:type="dxa"/>
            <w:vMerge w:val="continue"/>
            <w:tcBorders>
              <w:top w:val="single" w:color="auto" w:sz="4" w:space="0"/>
              <w:left w:val="single" w:color="auto" w:sz="12" w:space="0"/>
              <w:bottom w:val="single" w:color="auto" w:sz="4" w:space="0"/>
              <w:right w:val="single" w:color="auto" w:sz="4" w:space="0"/>
            </w:tcBorders>
            <w:vAlign w:val="center"/>
          </w:tcPr>
          <w:p w14:paraId="37ADCB24">
            <w:pPr>
              <w:pStyle w:val="41"/>
              <w:snapToGrid w:val="0"/>
              <w:spacing w:line="240" w:lineRule="auto"/>
              <w:ind w:left="0" w:leftChars="0" w:right="0" w:rightChars="0" w:firstLine="0" w:firstLineChars="0"/>
              <w:jc w:val="center"/>
              <w:rPr>
                <w:rFonts w:ascii="仿宋_GB2312" w:eastAsia="仿宋_GB2312"/>
                <w:spacing w:val="-1"/>
                <w:sz w:val="21"/>
              </w:rPr>
            </w:pPr>
          </w:p>
        </w:tc>
        <w:tc>
          <w:tcPr>
            <w:tcW w:w="2450" w:type="dxa"/>
            <w:tcBorders>
              <w:top w:val="single" w:color="auto" w:sz="4" w:space="0"/>
              <w:left w:val="single" w:color="auto" w:sz="4" w:space="0"/>
              <w:bottom w:val="single" w:color="auto" w:sz="4" w:space="0"/>
              <w:right w:val="single" w:color="auto" w:sz="4" w:space="0"/>
            </w:tcBorders>
            <w:vAlign w:val="center"/>
          </w:tcPr>
          <w:p w14:paraId="3255C848">
            <w:pPr>
              <w:pStyle w:val="41"/>
              <w:snapToGrid w:val="0"/>
              <w:spacing w:line="240" w:lineRule="auto"/>
              <w:ind w:left="0" w:leftChars="0" w:right="0" w:rightChars="0" w:firstLine="0" w:firstLineChars="0"/>
              <w:jc w:val="center"/>
              <w:rPr>
                <w:rFonts w:hint="default" w:ascii="仿宋_GB2312" w:eastAsia="仿宋_GB2312"/>
                <w:sz w:val="21"/>
                <w:lang w:val="en-US" w:eastAsia="zh-CN"/>
              </w:rPr>
            </w:pPr>
            <w:r>
              <w:rPr>
                <w:rFonts w:hint="eastAsia" w:ascii="仿宋_GB2312" w:eastAsia="仿宋_GB2312"/>
                <w:sz w:val="21"/>
                <w:lang w:val="en-US" w:eastAsia="zh-CN"/>
              </w:rPr>
              <w:t>结账监控</w:t>
            </w:r>
          </w:p>
        </w:tc>
        <w:tc>
          <w:tcPr>
            <w:tcW w:w="1450" w:type="dxa"/>
            <w:tcBorders>
              <w:top w:val="single" w:color="auto" w:sz="4" w:space="0"/>
              <w:left w:val="single" w:color="auto" w:sz="4" w:space="0"/>
              <w:bottom w:val="single" w:color="auto" w:sz="4" w:space="0"/>
              <w:right w:val="single" w:color="auto" w:sz="4" w:space="0"/>
            </w:tcBorders>
            <w:vAlign w:val="center"/>
          </w:tcPr>
          <w:p w14:paraId="3F36687B">
            <w:pPr>
              <w:pStyle w:val="41"/>
              <w:snapToGrid w:val="0"/>
              <w:spacing w:line="240" w:lineRule="auto"/>
              <w:ind w:left="0" w:leftChars="0" w:right="0" w:rightChars="0" w:firstLine="0" w:firstLineChars="0"/>
              <w:jc w:val="center"/>
              <w:rPr>
                <w:rFonts w:hint="default" w:ascii="仿宋_GB2312" w:eastAsia="仿宋_GB2312"/>
                <w:spacing w:val="-5"/>
                <w:sz w:val="21"/>
                <w:lang w:val="en-US" w:eastAsia="zh-CN"/>
              </w:rPr>
            </w:pPr>
            <w:r>
              <w:rPr>
                <w:rFonts w:hint="eastAsia" w:ascii="仿宋_GB2312" w:eastAsia="仿宋_GB2312"/>
                <w:spacing w:val="-5"/>
                <w:sz w:val="21"/>
                <w:lang w:val="en-US" w:eastAsia="zh-CN"/>
              </w:rPr>
              <w:t>1</w:t>
            </w:r>
          </w:p>
        </w:tc>
        <w:tc>
          <w:tcPr>
            <w:tcW w:w="1065" w:type="dxa"/>
            <w:tcBorders>
              <w:top w:val="single" w:color="auto" w:sz="4" w:space="0"/>
              <w:left w:val="single" w:color="auto" w:sz="4" w:space="0"/>
              <w:bottom w:val="single" w:color="auto" w:sz="4" w:space="0"/>
              <w:right w:val="single" w:color="auto" w:sz="4" w:space="0"/>
            </w:tcBorders>
            <w:vAlign w:val="center"/>
          </w:tcPr>
          <w:p w14:paraId="00C96579">
            <w:pPr>
              <w:pStyle w:val="41"/>
              <w:snapToGrid w:val="0"/>
              <w:spacing w:line="240" w:lineRule="auto"/>
              <w:ind w:left="0" w:leftChars="0" w:right="0" w:rightChars="0" w:firstLine="0" w:firstLineChars="0"/>
              <w:jc w:val="both"/>
              <w:rPr>
                <w:rFonts w:hint="eastAsia" w:ascii="仿宋_GB2312" w:eastAsia="仿宋_GB2312"/>
                <w:spacing w:val="-5"/>
                <w:sz w:val="21"/>
                <w:lang w:val="en-US" w:eastAsia="zh-CN"/>
              </w:rPr>
            </w:pPr>
          </w:p>
        </w:tc>
        <w:tc>
          <w:tcPr>
            <w:tcW w:w="1281" w:type="dxa"/>
            <w:tcBorders>
              <w:top w:val="single" w:color="auto" w:sz="4" w:space="0"/>
              <w:left w:val="single" w:color="auto" w:sz="4" w:space="0"/>
              <w:bottom w:val="single" w:color="auto" w:sz="4" w:space="0"/>
              <w:right w:val="single" w:color="auto" w:sz="12" w:space="0"/>
            </w:tcBorders>
            <w:vAlign w:val="center"/>
          </w:tcPr>
          <w:p w14:paraId="647832FD">
            <w:pPr>
              <w:pStyle w:val="41"/>
              <w:snapToGrid w:val="0"/>
              <w:spacing w:line="240" w:lineRule="auto"/>
              <w:ind w:left="0" w:leftChars="0" w:right="0" w:rightChars="0" w:firstLine="0" w:firstLineChars="0"/>
              <w:jc w:val="both"/>
              <w:rPr>
                <w:rFonts w:hint="eastAsia" w:ascii="仿宋_GB2312" w:eastAsia="仿宋_GB2312"/>
                <w:spacing w:val="-5"/>
                <w:sz w:val="21"/>
                <w:lang w:val="en-US" w:eastAsia="zh-CN"/>
              </w:rPr>
            </w:pPr>
          </w:p>
        </w:tc>
      </w:tr>
      <w:tr w14:paraId="75D99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01" w:type="dxa"/>
            <w:vMerge w:val="continue"/>
            <w:tcBorders>
              <w:top w:val="single" w:color="auto" w:sz="4" w:space="0"/>
              <w:left w:val="single" w:color="auto" w:sz="12" w:space="0"/>
              <w:bottom w:val="single" w:color="auto" w:sz="4" w:space="0"/>
              <w:right w:val="single" w:color="auto" w:sz="4" w:space="0"/>
            </w:tcBorders>
            <w:vAlign w:val="center"/>
          </w:tcPr>
          <w:p w14:paraId="4717040A">
            <w:pPr>
              <w:pStyle w:val="41"/>
              <w:snapToGrid w:val="0"/>
              <w:spacing w:line="240" w:lineRule="auto"/>
              <w:ind w:left="0" w:leftChars="0" w:right="0" w:rightChars="0" w:firstLine="0" w:firstLineChars="0"/>
              <w:jc w:val="center"/>
              <w:rPr>
                <w:rFonts w:ascii="仿宋_GB2312" w:eastAsia="仿宋_GB2312"/>
                <w:spacing w:val="-1"/>
                <w:sz w:val="21"/>
              </w:rPr>
            </w:pPr>
          </w:p>
        </w:tc>
        <w:tc>
          <w:tcPr>
            <w:tcW w:w="2450" w:type="dxa"/>
            <w:tcBorders>
              <w:top w:val="single" w:color="auto" w:sz="4" w:space="0"/>
              <w:left w:val="single" w:color="auto" w:sz="4" w:space="0"/>
              <w:bottom w:val="single" w:color="auto" w:sz="4" w:space="0"/>
              <w:right w:val="single" w:color="auto" w:sz="4" w:space="0"/>
            </w:tcBorders>
            <w:vAlign w:val="center"/>
          </w:tcPr>
          <w:p w14:paraId="08A48AD1">
            <w:pPr>
              <w:pStyle w:val="41"/>
              <w:snapToGrid w:val="0"/>
              <w:spacing w:line="240" w:lineRule="auto"/>
              <w:ind w:left="0" w:leftChars="0" w:right="0" w:rightChars="0" w:firstLine="0" w:firstLineChars="0"/>
              <w:jc w:val="center"/>
              <w:rPr>
                <w:rFonts w:hint="default" w:ascii="仿宋_GB2312" w:eastAsia="仿宋_GB2312"/>
                <w:sz w:val="21"/>
                <w:lang w:val="en-US" w:eastAsia="zh-CN"/>
              </w:rPr>
            </w:pPr>
            <w:r>
              <w:rPr>
                <w:rFonts w:hint="eastAsia" w:ascii="仿宋_GB2312" w:eastAsia="仿宋_GB2312"/>
                <w:sz w:val="21"/>
                <w:lang w:val="en-US" w:eastAsia="zh-CN"/>
              </w:rPr>
              <w:t>外审文件管理</w:t>
            </w:r>
          </w:p>
        </w:tc>
        <w:tc>
          <w:tcPr>
            <w:tcW w:w="1450" w:type="dxa"/>
            <w:tcBorders>
              <w:top w:val="single" w:color="auto" w:sz="4" w:space="0"/>
              <w:left w:val="single" w:color="auto" w:sz="4" w:space="0"/>
              <w:bottom w:val="single" w:color="auto" w:sz="4" w:space="0"/>
              <w:right w:val="single" w:color="auto" w:sz="4" w:space="0"/>
            </w:tcBorders>
            <w:vAlign w:val="center"/>
          </w:tcPr>
          <w:p w14:paraId="54F1E837">
            <w:pPr>
              <w:pStyle w:val="41"/>
              <w:snapToGrid w:val="0"/>
              <w:spacing w:line="240" w:lineRule="auto"/>
              <w:ind w:left="0" w:leftChars="0" w:right="0" w:rightChars="0" w:firstLine="0" w:firstLineChars="0"/>
              <w:jc w:val="center"/>
              <w:rPr>
                <w:rFonts w:hint="default" w:ascii="仿宋_GB2312" w:eastAsia="仿宋_GB2312"/>
                <w:spacing w:val="-5"/>
                <w:sz w:val="21"/>
                <w:lang w:val="en-US" w:eastAsia="zh-CN"/>
              </w:rPr>
            </w:pPr>
            <w:r>
              <w:rPr>
                <w:rFonts w:hint="eastAsia" w:ascii="仿宋_GB2312" w:eastAsia="仿宋_GB2312"/>
                <w:spacing w:val="-5"/>
                <w:sz w:val="21"/>
                <w:lang w:val="en-US" w:eastAsia="zh-CN"/>
              </w:rPr>
              <w:t>1</w:t>
            </w:r>
          </w:p>
        </w:tc>
        <w:tc>
          <w:tcPr>
            <w:tcW w:w="1065" w:type="dxa"/>
            <w:tcBorders>
              <w:top w:val="single" w:color="auto" w:sz="4" w:space="0"/>
              <w:left w:val="single" w:color="auto" w:sz="4" w:space="0"/>
              <w:bottom w:val="single" w:color="auto" w:sz="4" w:space="0"/>
              <w:right w:val="single" w:color="auto" w:sz="4" w:space="0"/>
            </w:tcBorders>
            <w:vAlign w:val="center"/>
          </w:tcPr>
          <w:p w14:paraId="5A4727CD">
            <w:pPr>
              <w:pStyle w:val="41"/>
              <w:snapToGrid w:val="0"/>
              <w:spacing w:line="240" w:lineRule="auto"/>
              <w:ind w:left="0" w:leftChars="0" w:right="0" w:rightChars="0" w:firstLine="0" w:firstLineChars="0"/>
              <w:jc w:val="both"/>
              <w:rPr>
                <w:rFonts w:hint="eastAsia" w:ascii="仿宋_GB2312" w:eastAsia="仿宋_GB2312"/>
                <w:spacing w:val="-5"/>
                <w:sz w:val="21"/>
                <w:lang w:val="en-US" w:eastAsia="zh-CN"/>
              </w:rPr>
            </w:pPr>
          </w:p>
        </w:tc>
        <w:tc>
          <w:tcPr>
            <w:tcW w:w="1281" w:type="dxa"/>
            <w:tcBorders>
              <w:top w:val="single" w:color="auto" w:sz="4" w:space="0"/>
              <w:left w:val="single" w:color="auto" w:sz="4" w:space="0"/>
              <w:bottom w:val="single" w:color="auto" w:sz="4" w:space="0"/>
              <w:right w:val="single" w:color="auto" w:sz="12" w:space="0"/>
            </w:tcBorders>
            <w:vAlign w:val="center"/>
          </w:tcPr>
          <w:p w14:paraId="3C5AB19B">
            <w:pPr>
              <w:pStyle w:val="41"/>
              <w:snapToGrid w:val="0"/>
              <w:spacing w:line="240" w:lineRule="auto"/>
              <w:ind w:left="0" w:leftChars="0" w:right="0" w:rightChars="0" w:firstLine="0" w:firstLineChars="0"/>
              <w:jc w:val="both"/>
              <w:rPr>
                <w:rFonts w:hint="eastAsia" w:ascii="仿宋_GB2312" w:eastAsia="仿宋_GB2312"/>
                <w:spacing w:val="-5"/>
                <w:sz w:val="21"/>
                <w:lang w:val="en-US" w:eastAsia="zh-CN"/>
              </w:rPr>
            </w:pPr>
          </w:p>
        </w:tc>
      </w:tr>
      <w:tr w14:paraId="2D519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01" w:type="dxa"/>
            <w:tcBorders>
              <w:top w:val="single" w:color="auto" w:sz="4" w:space="0"/>
              <w:left w:val="single" w:color="auto" w:sz="12" w:space="0"/>
              <w:bottom w:val="single" w:color="auto" w:sz="4" w:space="0"/>
              <w:right w:val="single" w:color="auto" w:sz="4" w:space="0"/>
            </w:tcBorders>
            <w:vAlign w:val="center"/>
          </w:tcPr>
          <w:p w14:paraId="03C91E50">
            <w:pPr>
              <w:pStyle w:val="41"/>
              <w:snapToGrid w:val="0"/>
              <w:spacing w:before="87" w:line="240" w:lineRule="auto"/>
              <w:ind w:left="0" w:leftChars="0" w:right="0" w:rightChars="0" w:firstLine="0" w:firstLineChars="0"/>
              <w:jc w:val="center"/>
              <w:rPr>
                <w:rFonts w:hint="default" w:ascii="仿宋_GB2312" w:eastAsia="仿宋_GB2312"/>
                <w:sz w:val="21"/>
                <w:lang w:val="en-US" w:eastAsia="zh-CN"/>
              </w:rPr>
            </w:pPr>
            <w:r>
              <w:rPr>
                <w:rFonts w:hint="eastAsia" w:ascii="仿宋_GB2312" w:eastAsia="仿宋_GB2312"/>
                <w:sz w:val="21"/>
                <w:lang w:val="en-US" w:eastAsia="zh-CN"/>
              </w:rPr>
              <w:t>流程服务</w:t>
            </w:r>
          </w:p>
        </w:tc>
        <w:tc>
          <w:tcPr>
            <w:tcW w:w="2450" w:type="dxa"/>
            <w:tcBorders>
              <w:top w:val="single" w:color="auto" w:sz="4" w:space="0"/>
              <w:left w:val="single" w:color="auto" w:sz="4" w:space="0"/>
              <w:bottom w:val="single" w:color="auto" w:sz="4" w:space="0"/>
              <w:right w:val="single" w:color="auto" w:sz="4" w:space="0"/>
            </w:tcBorders>
            <w:vAlign w:val="center"/>
          </w:tcPr>
          <w:p w14:paraId="5120DA6F">
            <w:pPr>
              <w:pStyle w:val="41"/>
              <w:snapToGrid w:val="0"/>
              <w:spacing w:before="87" w:line="240" w:lineRule="auto"/>
              <w:ind w:left="0" w:leftChars="0" w:right="0" w:rightChars="0" w:firstLine="0" w:firstLineChars="0"/>
              <w:jc w:val="center"/>
              <w:rPr>
                <w:rFonts w:hint="eastAsia" w:ascii="仿宋_GB2312" w:eastAsia="仿宋_GB2312"/>
                <w:sz w:val="21"/>
              </w:rPr>
            </w:pPr>
            <w:r>
              <w:rPr>
                <w:rFonts w:ascii="仿宋_GB2312" w:eastAsia="仿宋_GB2312"/>
                <w:spacing w:val="-2"/>
                <w:sz w:val="21"/>
              </w:rPr>
              <w:t>工作流服务-无限版</w:t>
            </w:r>
          </w:p>
        </w:tc>
        <w:tc>
          <w:tcPr>
            <w:tcW w:w="1450" w:type="dxa"/>
            <w:tcBorders>
              <w:top w:val="single" w:color="auto" w:sz="4" w:space="0"/>
              <w:left w:val="single" w:color="auto" w:sz="4" w:space="0"/>
              <w:bottom w:val="single" w:color="auto" w:sz="4" w:space="0"/>
              <w:right w:val="single" w:color="auto" w:sz="4" w:space="0"/>
            </w:tcBorders>
            <w:vAlign w:val="center"/>
          </w:tcPr>
          <w:p w14:paraId="7CF8DDB2">
            <w:pPr>
              <w:pStyle w:val="41"/>
              <w:snapToGrid w:val="0"/>
              <w:spacing w:before="87" w:line="240" w:lineRule="auto"/>
              <w:ind w:left="0" w:leftChars="0" w:right="0" w:rightChars="0" w:firstLine="0" w:firstLineChars="0"/>
              <w:jc w:val="center"/>
              <w:rPr>
                <w:rFonts w:hint="eastAsia" w:ascii="仿宋_GB2312" w:eastAsia="仿宋_GB2312"/>
                <w:sz w:val="21"/>
                <w:lang w:eastAsia="zh-CN"/>
              </w:rPr>
            </w:pPr>
            <w:r>
              <w:rPr>
                <w:rFonts w:hint="eastAsia" w:ascii="仿宋_GB2312" w:eastAsia="仿宋_GB2312"/>
                <w:spacing w:val="-10"/>
                <w:sz w:val="21"/>
                <w:lang w:val="en-US" w:eastAsia="zh-CN"/>
              </w:rPr>
              <w:t>1</w:t>
            </w:r>
          </w:p>
        </w:tc>
        <w:tc>
          <w:tcPr>
            <w:tcW w:w="1065" w:type="dxa"/>
            <w:tcBorders>
              <w:top w:val="single" w:color="auto" w:sz="4" w:space="0"/>
              <w:left w:val="single" w:color="auto" w:sz="4" w:space="0"/>
              <w:bottom w:val="single" w:color="auto" w:sz="4" w:space="0"/>
              <w:right w:val="single" w:color="auto" w:sz="4" w:space="0"/>
            </w:tcBorders>
            <w:vAlign w:val="center"/>
          </w:tcPr>
          <w:p w14:paraId="563D3BAB">
            <w:pPr>
              <w:pStyle w:val="41"/>
              <w:snapToGrid w:val="0"/>
              <w:spacing w:before="87" w:line="240" w:lineRule="auto"/>
              <w:ind w:left="0" w:leftChars="0" w:right="0" w:rightChars="0" w:firstLine="0" w:firstLineChars="0"/>
              <w:jc w:val="both"/>
              <w:rPr>
                <w:rFonts w:hint="eastAsia" w:ascii="仿宋_GB2312" w:eastAsia="仿宋_GB2312"/>
                <w:spacing w:val="-10"/>
                <w:sz w:val="21"/>
                <w:lang w:val="en-US" w:eastAsia="zh-CN"/>
              </w:rPr>
            </w:pPr>
          </w:p>
        </w:tc>
        <w:tc>
          <w:tcPr>
            <w:tcW w:w="1281" w:type="dxa"/>
            <w:tcBorders>
              <w:top w:val="single" w:color="auto" w:sz="4" w:space="0"/>
              <w:left w:val="single" w:color="auto" w:sz="4" w:space="0"/>
              <w:bottom w:val="single" w:color="auto" w:sz="4" w:space="0"/>
              <w:right w:val="single" w:color="auto" w:sz="12" w:space="0"/>
            </w:tcBorders>
            <w:vAlign w:val="center"/>
          </w:tcPr>
          <w:p w14:paraId="268049FB">
            <w:pPr>
              <w:pStyle w:val="41"/>
              <w:snapToGrid w:val="0"/>
              <w:spacing w:before="87" w:line="240" w:lineRule="auto"/>
              <w:ind w:left="0" w:leftChars="0" w:right="0" w:rightChars="0" w:firstLine="0" w:firstLineChars="0"/>
              <w:jc w:val="both"/>
              <w:rPr>
                <w:rFonts w:hint="eastAsia" w:ascii="仿宋_GB2312" w:eastAsia="仿宋_GB2312"/>
                <w:spacing w:val="-10"/>
                <w:sz w:val="21"/>
                <w:lang w:val="en-US" w:eastAsia="zh-CN"/>
              </w:rPr>
            </w:pPr>
          </w:p>
        </w:tc>
      </w:tr>
      <w:tr w14:paraId="08153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01" w:type="dxa"/>
            <w:tcBorders>
              <w:top w:val="single" w:color="auto" w:sz="4" w:space="0"/>
              <w:left w:val="single" w:color="auto" w:sz="12" w:space="0"/>
              <w:bottom w:val="single" w:color="auto" w:sz="4" w:space="0"/>
              <w:right w:val="single" w:color="auto" w:sz="4" w:space="0"/>
            </w:tcBorders>
            <w:shd w:val="clear" w:color="auto" w:fill="auto"/>
            <w:vAlign w:val="center"/>
          </w:tcPr>
          <w:p w14:paraId="29A4B10E">
            <w:pPr>
              <w:pStyle w:val="41"/>
              <w:snapToGrid w:val="0"/>
              <w:spacing w:line="240" w:lineRule="auto"/>
              <w:ind w:left="0" w:leftChars="0" w:right="0" w:rightChars="0" w:firstLine="0" w:firstLineChars="0"/>
              <w:jc w:val="center"/>
              <w:rPr>
                <w:rFonts w:hint="eastAsia" w:ascii="仿宋_GB2312" w:hAnsi="宋体" w:eastAsia="仿宋_GB2312" w:cs="宋体"/>
                <w:sz w:val="21"/>
                <w:szCs w:val="22"/>
                <w:lang w:val="en-US" w:eastAsia="zh-CN" w:bidi="ar-SA"/>
              </w:rPr>
            </w:pPr>
            <w:r>
              <w:rPr>
                <w:rFonts w:ascii="仿宋_GB2312" w:eastAsia="仿宋_GB2312"/>
                <w:spacing w:val="-2"/>
                <w:sz w:val="21"/>
              </w:rPr>
              <w:t>集成服务</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14:paraId="22AB4C65">
            <w:pPr>
              <w:pStyle w:val="41"/>
              <w:snapToGrid w:val="0"/>
              <w:spacing w:line="240" w:lineRule="auto"/>
              <w:ind w:left="0" w:leftChars="0" w:right="0" w:rightChars="0" w:firstLine="0" w:firstLineChars="0"/>
              <w:jc w:val="center"/>
              <w:rPr>
                <w:rFonts w:hint="eastAsia" w:ascii="仿宋_GB2312" w:hAnsi="宋体" w:eastAsia="仿宋_GB2312" w:cs="宋体"/>
                <w:sz w:val="21"/>
                <w:szCs w:val="22"/>
                <w:lang w:val="ca-ES" w:eastAsia="en-US" w:bidi="ar-SA"/>
              </w:rPr>
            </w:pPr>
            <w:r>
              <w:rPr>
                <w:rFonts w:ascii="仿宋_GB2312" w:eastAsia="仿宋_GB2312"/>
                <w:spacing w:val="-3"/>
                <w:sz w:val="21"/>
              </w:rPr>
              <w:t>集成管理</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D1F922F">
            <w:pPr>
              <w:pStyle w:val="41"/>
              <w:snapToGrid w:val="0"/>
              <w:spacing w:line="240" w:lineRule="auto"/>
              <w:ind w:left="0" w:leftChars="0" w:right="0" w:rightChars="0" w:firstLine="0" w:firstLineChars="0"/>
              <w:jc w:val="center"/>
              <w:rPr>
                <w:rFonts w:hint="default" w:ascii="仿宋_GB2312" w:hAnsi="宋体" w:eastAsia="仿宋_GB2312" w:cs="宋体"/>
                <w:sz w:val="21"/>
                <w:szCs w:val="22"/>
                <w:lang w:val="en-US" w:eastAsia="zh-CN" w:bidi="ar-SA"/>
              </w:rPr>
            </w:pPr>
            <w:r>
              <w:rPr>
                <w:rFonts w:hint="eastAsia" w:ascii="仿宋_GB2312" w:eastAsia="仿宋_GB2312" w:cs="宋体"/>
                <w:sz w:val="21"/>
                <w:szCs w:val="22"/>
                <w:lang w:val="en-US" w:eastAsia="zh-CN" w:bidi="ar-SA"/>
              </w:rPr>
              <w:t>2</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05D46743">
            <w:pPr>
              <w:pStyle w:val="41"/>
              <w:snapToGrid w:val="0"/>
              <w:spacing w:line="240" w:lineRule="auto"/>
              <w:ind w:left="0" w:leftChars="0" w:right="0" w:rightChars="0" w:firstLine="0" w:firstLineChars="0"/>
              <w:jc w:val="both"/>
              <w:rPr>
                <w:rFonts w:hint="eastAsia" w:ascii="仿宋_GB2312" w:eastAsia="仿宋_GB2312" w:cs="宋体"/>
                <w:sz w:val="21"/>
                <w:szCs w:val="22"/>
                <w:lang w:val="en-US" w:eastAsia="zh-CN" w:bidi="ar-SA"/>
              </w:rPr>
            </w:pPr>
          </w:p>
        </w:tc>
        <w:tc>
          <w:tcPr>
            <w:tcW w:w="1281" w:type="dxa"/>
            <w:tcBorders>
              <w:top w:val="single" w:color="auto" w:sz="4" w:space="0"/>
              <w:left w:val="single" w:color="auto" w:sz="4" w:space="0"/>
              <w:bottom w:val="single" w:color="auto" w:sz="4" w:space="0"/>
              <w:right w:val="single" w:color="auto" w:sz="12" w:space="0"/>
            </w:tcBorders>
            <w:shd w:val="clear" w:color="auto" w:fill="auto"/>
            <w:vAlign w:val="center"/>
          </w:tcPr>
          <w:p w14:paraId="2B77F763">
            <w:pPr>
              <w:pStyle w:val="41"/>
              <w:snapToGrid w:val="0"/>
              <w:spacing w:line="240" w:lineRule="auto"/>
              <w:ind w:left="0" w:leftChars="0" w:right="0" w:rightChars="0" w:firstLine="0" w:firstLineChars="0"/>
              <w:jc w:val="both"/>
              <w:rPr>
                <w:rFonts w:hint="eastAsia" w:ascii="仿宋_GB2312" w:eastAsia="仿宋_GB2312" w:cs="宋体"/>
                <w:sz w:val="21"/>
                <w:szCs w:val="22"/>
                <w:lang w:val="en-US" w:eastAsia="zh-CN" w:bidi="ar-SA"/>
              </w:rPr>
            </w:pPr>
          </w:p>
        </w:tc>
      </w:tr>
      <w:tr w14:paraId="15760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01"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14:paraId="2A133739">
            <w:pPr>
              <w:pStyle w:val="41"/>
              <w:snapToGrid w:val="0"/>
              <w:spacing w:line="240" w:lineRule="auto"/>
              <w:ind w:left="0" w:leftChars="0" w:right="0" w:rightChars="0" w:firstLine="0" w:firstLineChars="0"/>
              <w:jc w:val="center"/>
              <w:rPr>
                <w:rFonts w:hint="eastAsia" w:ascii="仿宋_GB2312" w:eastAsia="仿宋_GB2312"/>
                <w:spacing w:val="-2"/>
                <w:sz w:val="21"/>
                <w:lang w:val="en-US" w:eastAsia="zh-CN"/>
              </w:rPr>
            </w:pPr>
            <w:r>
              <w:rPr>
                <w:rFonts w:hint="eastAsia" w:ascii="仿宋_GB2312" w:eastAsia="仿宋_GB2312"/>
                <w:spacing w:val="-2"/>
                <w:sz w:val="21"/>
                <w:lang w:val="en-US" w:eastAsia="zh-CN"/>
              </w:rPr>
              <w:t>数据服务</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14:paraId="7EE56FA4">
            <w:pPr>
              <w:pStyle w:val="41"/>
              <w:snapToGrid w:val="0"/>
              <w:spacing w:line="240" w:lineRule="auto"/>
              <w:ind w:left="0" w:leftChars="0" w:right="0" w:rightChars="0" w:firstLine="0" w:firstLineChars="0"/>
              <w:jc w:val="center"/>
              <w:rPr>
                <w:rFonts w:hint="eastAsia" w:ascii="仿宋_GB2312" w:eastAsia="仿宋_GB2312"/>
                <w:spacing w:val="-3"/>
                <w:sz w:val="21"/>
                <w:lang w:val="en-US" w:eastAsia="zh-CN"/>
              </w:rPr>
            </w:pPr>
            <w:r>
              <w:rPr>
                <w:rFonts w:hint="eastAsia" w:ascii="仿宋_GB2312" w:eastAsia="仿宋_GB2312"/>
                <w:spacing w:val="-3"/>
                <w:sz w:val="21"/>
                <w:lang w:val="en-US" w:eastAsia="zh-CN"/>
              </w:rPr>
              <w:t>轻分析（个性化报表）</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621CC15">
            <w:pPr>
              <w:pStyle w:val="41"/>
              <w:snapToGrid w:val="0"/>
              <w:spacing w:line="240" w:lineRule="auto"/>
              <w:ind w:left="0" w:leftChars="0" w:right="0" w:rightChars="0" w:firstLine="0" w:firstLineChars="0"/>
              <w:jc w:val="center"/>
              <w:rPr>
                <w:rFonts w:hint="default" w:ascii="仿宋_GB2312" w:eastAsia="仿宋_GB2312" w:cs="宋体"/>
                <w:sz w:val="21"/>
                <w:szCs w:val="22"/>
                <w:lang w:val="en-US" w:eastAsia="zh-CN" w:bidi="ar-SA"/>
              </w:rPr>
            </w:pPr>
            <w:r>
              <w:rPr>
                <w:rFonts w:hint="eastAsia" w:ascii="仿宋_GB2312" w:eastAsia="仿宋_GB2312" w:cs="宋体"/>
                <w:sz w:val="21"/>
                <w:szCs w:val="22"/>
                <w:lang w:val="en-US" w:eastAsia="zh-CN" w:bidi="ar-SA"/>
              </w:rPr>
              <w:t>20</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4E94DF03">
            <w:pPr>
              <w:pStyle w:val="41"/>
              <w:snapToGrid w:val="0"/>
              <w:spacing w:line="240" w:lineRule="auto"/>
              <w:ind w:left="0" w:leftChars="0" w:right="0" w:rightChars="0" w:firstLine="0" w:firstLineChars="0"/>
              <w:jc w:val="both"/>
              <w:rPr>
                <w:rFonts w:hint="eastAsia" w:ascii="仿宋_GB2312" w:eastAsia="仿宋_GB2312" w:cs="宋体"/>
                <w:sz w:val="21"/>
                <w:szCs w:val="22"/>
                <w:lang w:val="en-US" w:eastAsia="zh-CN" w:bidi="ar-SA"/>
              </w:rPr>
            </w:pPr>
          </w:p>
        </w:tc>
        <w:tc>
          <w:tcPr>
            <w:tcW w:w="1281" w:type="dxa"/>
            <w:tcBorders>
              <w:top w:val="single" w:color="auto" w:sz="4" w:space="0"/>
              <w:left w:val="single" w:color="auto" w:sz="4" w:space="0"/>
              <w:bottom w:val="single" w:color="auto" w:sz="4" w:space="0"/>
              <w:right w:val="single" w:color="auto" w:sz="12" w:space="0"/>
            </w:tcBorders>
            <w:shd w:val="clear" w:color="auto" w:fill="auto"/>
            <w:vAlign w:val="center"/>
          </w:tcPr>
          <w:p w14:paraId="0E8D043A">
            <w:pPr>
              <w:pStyle w:val="41"/>
              <w:snapToGrid w:val="0"/>
              <w:spacing w:line="240" w:lineRule="auto"/>
              <w:ind w:left="0" w:leftChars="0" w:right="0" w:rightChars="0" w:firstLine="0" w:firstLineChars="0"/>
              <w:jc w:val="both"/>
              <w:rPr>
                <w:rFonts w:hint="eastAsia" w:ascii="仿宋_GB2312" w:eastAsia="仿宋_GB2312" w:cs="宋体"/>
                <w:sz w:val="21"/>
                <w:szCs w:val="22"/>
                <w:lang w:val="en-US" w:eastAsia="zh-CN" w:bidi="ar-SA"/>
              </w:rPr>
            </w:pPr>
          </w:p>
        </w:tc>
      </w:tr>
      <w:tr w14:paraId="2F6A9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0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5617E21E">
            <w:pPr>
              <w:pStyle w:val="41"/>
              <w:snapToGrid w:val="0"/>
              <w:spacing w:line="240" w:lineRule="auto"/>
              <w:ind w:left="0" w:leftChars="0" w:right="0" w:rightChars="0" w:firstLine="0" w:firstLineChars="0"/>
              <w:jc w:val="center"/>
              <w:rPr>
                <w:rFonts w:hint="eastAsia" w:ascii="仿宋_GB2312" w:eastAsia="仿宋_GB2312"/>
                <w:spacing w:val="-2"/>
                <w:sz w:val="21"/>
                <w:lang w:val="en-US" w:eastAsia="zh-CN"/>
              </w:rPr>
            </w:pP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14:paraId="6AE1FB88">
            <w:pPr>
              <w:pStyle w:val="41"/>
              <w:snapToGrid w:val="0"/>
              <w:spacing w:line="240" w:lineRule="auto"/>
              <w:ind w:left="0" w:leftChars="0" w:right="0" w:rightChars="0" w:firstLine="0" w:firstLineChars="0"/>
              <w:jc w:val="center"/>
              <w:rPr>
                <w:rFonts w:hint="default" w:ascii="仿宋_GB2312" w:eastAsia="仿宋_GB2312"/>
                <w:spacing w:val="-3"/>
                <w:sz w:val="21"/>
                <w:lang w:val="en-US" w:eastAsia="zh-CN"/>
              </w:rPr>
            </w:pPr>
            <w:r>
              <w:rPr>
                <w:rFonts w:hint="eastAsia" w:ascii="仿宋_GB2312" w:eastAsia="仿宋_GB2312"/>
                <w:spacing w:val="-3"/>
                <w:sz w:val="21"/>
                <w:lang w:val="en-US" w:eastAsia="zh-CN"/>
              </w:rPr>
              <w:t>智能数据洞察</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4A96C63">
            <w:pPr>
              <w:pStyle w:val="41"/>
              <w:snapToGrid w:val="0"/>
              <w:spacing w:line="240" w:lineRule="auto"/>
              <w:ind w:left="0" w:leftChars="0" w:right="0" w:rightChars="0" w:firstLine="0" w:firstLineChars="0"/>
              <w:jc w:val="center"/>
              <w:rPr>
                <w:rFonts w:hint="default" w:ascii="仿宋_GB2312" w:eastAsia="仿宋_GB2312" w:cs="宋体"/>
                <w:sz w:val="21"/>
                <w:szCs w:val="22"/>
                <w:lang w:val="en-US" w:eastAsia="zh-CN" w:bidi="ar-SA"/>
              </w:rPr>
            </w:pPr>
            <w:r>
              <w:rPr>
                <w:rFonts w:hint="eastAsia" w:ascii="仿宋_GB2312" w:eastAsia="仿宋_GB2312" w:cs="宋体"/>
                <w:sz w:val="21"/>
                <w:szCs w:val="22"/>
                <w:lang w:val="en-US" w:eastAsia="zh-CN" w:bidi="ar-SA"/>
              </w:rPr>
              <w:t>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32D7143B">
            <w:pPr>
              <w:pStyle w:val="41"/>
              <w:snapToGrid w:val="0"/>
              <w:spacing w:line="240" w:lineRule="auto"/>
              <w:ind w:left="0" w:leftChars="0" w:right="0" w:rightChars="0" w:firstLine="0" w:firstLineChars="0"/>
              <w:jc w:val="both"/>
              <w:rPr>
                <w:rFonts w:hint="eastAsia" w:ascii="仿宋_GB2312" w:eastAsia="仿宋_GB2312" w:cs="宋体"/>
                <w:sz w:val="21"/>
                <w:szCs w:val="22"/>
                <w:lang w:val="en-US" w:eastAsia="zh-CN" w:bidi="ar-SA"/>
              </w:rPr>
            </w:pPr>
          </w:p>
        </w:tc>
        <w:tc>
          <w:tcPr>
            <w:tcW w:w="1281" w:type="dxa"/>
            <w:tcBorders>
              <w:top w:val="single" w:color="auto" w:sz="4" w:space="0"/>
              <w:left w:val="single" w:color="auto" w:sz="4" w:space="0"/>
              <w:bottom w:val="single" w:color="auto" w:sz="4" w:space="0"/>
              <w:right w:val="single" w:color="auto" w:sz="12" w:space="0"/>
            </w:tcBorders>
            <w:shd w:val="clear" w:color="auto" w:fill="auto"/>
            <w:vAlign w:val="center"/>
          </w:tcPr>
          <w:p w14:paraId="4341AFD8">
            <w:pPr>
              <w:pStyle w:val="41"/>
              <w:snapToGrid w:val="0"/>
              <w:spacing w:line="240" w:lineRule="auto"/>
              <w:ind w:left="0" w:leftChars="0" w:right="0" w:rightChars="0" w:firstLine="0" w:firstLineChars="0"/>
              <w:jc w:val="both"/>
              <w:rPr>
                <w:rFonts w:hint="eastAsia" w:ascii="仿宋_GB2312" w:eastAsia="仿宋_GB2312" w:cs="宋体"/>
                <w:sz w:val="21"/>
                <w:szCs w:val="22"/>
                <w:lang w:val="en-US" w:eastAsia="zh-CN" w:bidi="ar-SA"/>
              </w:rPr>
            </w:pPr>
          </w:p>
        </w:tc>
      </w:tr>
      <w:tr w14:paraId="0107F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01"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14:paraId="06C42E30">
            <w:pPr>
              <w:pStyle w:val="41"/>
              <w:snapToGrid w:val="0"/>
              <w:spacing w:line="240" w:lineRule="auto"/>
              <w:ind w:left="0" w:leftChars="0" w:right="0" w:rightChars="0" w:firstLine="0" w:firstLineChars="0"/>
              <w:jc w:val="center"/>
              <w:rPr>
                <w:rFonts w:hint="default" w:ascii="仿宋_GB2312" w:eastAsia="仿宋_GB2312"/>
                <w:spacing w:val="-2"/>
                <w:sz w:val="21"/>
                <w:lang w:val="en-US" w:eastAsia="zh-CN"/>
              </w:rPr>
            </w:pPr>
            <w:r>
              <w:rPr>
                <w:rFonts w:hint="eastAsia" w:ascii="仿宋_GB2312" w:eastAsia="仿宋_GB2312"/>
                <w:spacing w:val="-2"/>
                <w:sz w:val="21"/>
                <w:lang w:val="en-US" w:eastAsia="zh-CN"/>
              </w:rPr>
              <w:t>云基础平台（GPaas）</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14:paraId="727A735B">
            <w:pPr>
              <w:pStyle w:val="41"/>
              <w:snapToGrid w:val="0"/>
              <w:spacing w:line="240" w:lineRule="auto"/>
              <w:ind w:left="0" w:leftChars="0" w:right="0" w:rightChars="0" w:firstLine="0" w:firstLineChars="0"/>
              <w:jc w:val="center"/>
              <w:rPr>
                <w:rFonts w:hint="default" w:ascii="仿宋_GB2312" w:eastAsia="仿宋_GB2312"/>
                <w:spacing w:val="-3"/>
                <w:sz w:val="21"/>
                <w:lang w:val="en-US" w:eastAsia="zh-CN"/>
              </w:rPr>
            </w:pPr>
            <w:r>
              <w:rPr>
                <w:rFonts w:hint="eastAsia" w:ascii="仿宋_GB2312" w:eastAsia="仿宋_GB2312"/>
                <w:spacing w:val="-3"/>
                <w:sz w:val="21"/>
                <w:lang w:val="en-US" w:eastAsia="zh-CN"/>
              </w:rPr>
              <w:t>容器服务</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A2CBAE3">
            <w:pPr>
              <w:pStyle w:val="41"/>
              <w:snapToGrid w:val="0"/>
              <w:spacing w:line="240" w:lineRule="auto"/>
              <w:ind w:left="0" w:leftChars="0" w:right="0" w:rightChars="0" w:firstLine="0" w:firstLineChars="0"/>
              <w:jc w:val="center"/>
              <w:rPr>
                <w:rFonts w:hint="default" w:ascii="仿宋_GB2312" w:eastAsia="仿宋_GB2312" w:cs="宋体"/>
                <w:sz w:val="21"/>
                <w:szCs w:val="22"/>
                <w:lang w:val="en-US" w:eastAsia="zh-CN" w:bidi="ar-SA"/>
              </w:rPr>
            </w:pPr>
            <w:r>
              <w:rPr>
                <w:rFonts w:hint="eastAsia" w:ascii="仿宋_GB2312" w:eastAsia="仿宋_GB2312" w:cs="宋体"/>
                <w:sz w:val="21"/>
                <w:szCs w:val="22"/>
                <w:lang w:val="en-US" w:eastAsia="zh-CN" w:bidi="ar-SA"/>
              </w:rPr>
              <w:t>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286AB6E0">
            <w:pPr>
              <w:pStyle w:val="41"/>
              <w:snapToGrid w:val="0"/>
              <w:spacing w:line="240" w:lineRule="auto"/>
              <w:ind w:left="0" w:leftChars="0" w:right="0" w:rightChars="0" w:firstLine="0" w:firstLineChars="0"/>
              <w:jc w:val="both"/>
              <w:rPr>
                <w:rFonts w:hint="eastAsia" w:ascii="仿宋_GB2312" w:eastAsia="仿宋_GB2312" w:cs="宋体"/>
                <w:sz w:val="21"/>
                <w:szCs w:val="22"/>
                <w:lang w:val="en-US" w:eastAsia="zh-CN" w:bidi="ar-SA"/>
              </w:rPr>
            </w:pPr>
          </w:p>
        </w:tc>
        <w:tc>
          <w:tcPr>
            <w:tcW w:w="1281" w:type="dxa"/>
            <w:tcBorders>
              <w:top w:val="single" w:color="auto" w:sz="4" w:space="0"/>
              <w:left w:val="single" w:color="auto" w:sz="4" w:space="0"/>
              <w:bottom w:val="single" w:color="auto" w:sz="4" w:space="0"/>
              <w:right w:val="single" w:color="auto" w:sz="12" w:space="0"/>
            </w:tcBorders>
            <w:shd w:val="clear" w:color="auto" w:fill="auto"/>
            <w:vAlign w:val="center"/>
          </w:tcPr>
          <w:p w14:paraId="17EC3916">
            <w:pPr>
              <w:pStyle w:val="41"/>
              <w:snapToGrid w:val="0"/>
              <w:spacing w:line="240" w:lineRule="auto"/>
              <w:ind w:left="0" w:leftChars="0" w:right="0" w:rightChars="0" w:firstLine="0" w:firstLineChars="0"/>
              <w:jc w:val="both"/>
              <w:rPr>
                <w:rFonts w:hint="eastAsia" w:ascii="仿宋_GB2312" w:eastAsia="仿宋_GB2312" w:cs="宋体"/>
                <w:sz w:val="21"/>
                <w:szCs w:val="22"/>
                <w:lang w:val="en-US" w:eastAsia="zh-CN" w:bidi="ar-SA"/>
              </w:rPr>
            </w:pPr>
          </w:p>
        </w:tc>
      </w:tr>
      <w:tr w14:paraId="6A315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0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2D3CBFFC">
            <w:pPr>
              <w:pStyle w:val="41"/>
              <w:snapToGrid w:val="0"/>
              <w:spacing w:line="240" w:lineRule="auto"/>
              <w:ind w:left="0" w:leftChars="0" w:right="0" w:rightChars="0" w:firstLine="0" w:firstLineChars="0"/>
              <w:jc w:val="center"/>
              <w:rPr>
                <w:rFonts w:hint="eastAsia" w:ascii="仿宋_GB2312" w:eastAsia="仿宋_GB2312"/>
                <w:spacing w:val="-2"/>
                <w:sz w:val="21"/>
                <w:lang w:val="en-US" w:eastAsia="zh-CN"/>
              </w:rPr>
            </w:pP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14:paraId="76B5D57B">
            <w:pPr>
              <w:pStyle w:val="41"/>
              <w:snapToGrid w:val="0"/>
              <w:spacing w:line="240" w:lineRule="auto"/>
              <w:ind w:left="0" w:leftChars="0" w:right="0" w:rightChars="0" w:firstLine="0" w:firstLineChars="0"/>
              <w:jc w:val="center"/>
              <w:rPr>
                <w:rFonts w:hint="default" w:ascii="仿宋_GB2312" w:eastAsia="仿宋_GB2312"/>
                <w:spacing w:val="-3"/>
                <w:sz w:val="21"/>
                <w:lang w:val="en-US" w:eastAsia="zh-CN"/>
              </w:rPr>
            </w:pPr>
            <w:r>
              <w:rPr>
                <w:rFonts w:hint="eastAsia" w:ascii="仿宋_GB2312" w:eastAsia="仿宋_GB2312"/>
                <w:spacing w:val="-3"/>
                <w:sz w:val="21"/>
                <w:lang w:val="en-US" w:eastAsia="zh-CN"/>
              </w:rPr>
              <w:t>监控报警</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9201515">
            <w:pPr>
              <w:pStyle w:val="41"/>
              <w:snapToGrid w:val="0"/>
              <w:spacing w:line="240" w:lineRule="auto"/>
              <w:ind w:left="0" w:leftChars="0" w:right="0" w:rightChars="0" w:firstLine="0" w:firstLineChars="0"/>
              <w:jc w:val="center"/>
              <w:rPr>
                <w:rFonts w:hint="default" w:ascii="仿宋_GB2312" w:eastAsia="仿宋_GB2312" w:cs="宋体"/>
                <w:sz w:val="21"/>
                <w:szCs w:val="22"/>
                <w:lang w:val="en-US" w:eastAsia="zh-CN" w:bidi="ar-SA"/>
              </w:rPr>
            </w:pPr>
            <w:r>
              <w:rPr>
                <w:rFonts w:hint="eastAsia" w:ascii="仿宋_GB2312" w:eastAsia="仿宋_GB2312" w:cs="宋体"/>
                <w:sz w:val="21"/>
                <w:szCs w:val="22"/>
                <w:lang w:val="en-US" w:eastAsia="zh-CN" w:bidi="ar-SA"/>
              </w:rPr>
              <w:t>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282FB9FB">
            <w:pPr>
              <w:pStyle w:val="41"/>
              <w:snapToGrid w:val="0"/>
              <w:spacing w:line="240" w:lineRule="auto"/>
              <w:ind w:left="0" w:leftChars="0" w:right="0" w:rightChars="0" w:firstLine="0" w:firstLineChars="0"/>
              <w:jc w:val="both"/>
              <w:rPr>
                <w:rFonts w:hint="eastAsia" w:ascii="仿宋_GB2312" w:eastAsia="仿宋_GB2312" w:cs="宋体"/>
                <w:sz w:val="21"/>
                <w:szCs w:val="22"/>
                <w:lang w:val="en-US" w:eastAsia="zh-CN" w:bidi="ar-SA"/>
              </w:rPr>
            </w:pPr>
          </w:p>
        </w:tc>
        <w:tc>
          <w:tcPr>
            <w:tcW w:w="1281" w:type="dxa"/>
            <w:tcBorders>
              <w:top w:val="single" w:color="auto" w:sz="4" w:space="0"/>
              <w:left w:val="single" w:color="auto" w:sz="4" w:space="0"/>
              <w:bottom w:val="single" w:color="auto" w:sz="4" w:space="0"/>
              <w:right w:val="single" w:color="auto" w:sz="12" w:space="0"/>
            </w:tcBorders>
            <w:shd w:val="clear" w:color="auto" w:fill="auto"/>
            <w:vAlign w:val="center"/>
          </w:tcPr>
          <w:p w14:paraId="041F60E8">
            <w:pPr>
              <w:pStyle w:val="41"/>
              <w:snapToGrid w:val="0"/>
              <w:spacing w:line="240" w:lineRule="auto"/>
              <w:ind w:left="0" w:leftChars="0" w:right="0" w:rightChars="0" w:firstLine="0" w:firstLineChars="0"/>
              <w:jc w:val="both"/>
              <w:rPr>
                <w:rFonts w:hint="eastAsia" w:ascii="仿宋_GB2312" w:eastAsia="仿宋_GB2312" w:cs="宋体"/>
                <w:sz w:val="21"/>
                <w:szCs w:val="22"/>
                <w:lang w:val="en-US" w:eastAsia="zh-CN" w:bidi="ar-SA"/>
              </w:rPr>
            </w:pPr>
          </w:p>
        </w:tc>
      </w:tr>
      <w:tr w14:paraId="38ADB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01" w:type="dxa"/>
            <w:vMerge w:val="restart"/>
            <w:tcBorders>
              <w:top w:val="single" w:color="auto" w:sz="4" w:space="0"/>
              <w:left w:val="single" w:color="auto" w:sz="12" w:space="0"/>
              <w:right w:val="single" w:color="auto" w:sz="4" w:space="0"/>
            </w:tcBorders>
            <w:shd w:val="clear" w:color="auto" w:fill="auto"/>
            <w:vAlign w:val="center"/>
          </w:tcPr>
          <w:p w14:paraId="01FC9ED8">
            <w:pPr>
              <w:pStyle w:val="41"/>
              <w:snapToGrid w:val="0"/>
              <w:spacing w:line="240" w:lineRule="auto"/>
              <w:ind w:left="0" w:leftChars="0" w:right="0" w:rightChars="0" w:firstLine="0" w:firstLineChars="0"/>
              <w:jc w:val="center"/>
              <w:rPr>
                <w:rFonts w:hint="eastAsia" w:ascii="仿宋_GB2312" w:eastAsia="仿宋_GB2312"/>
                <w:spacing w:val="-2"/>
                <w:sz w:val="21"/>
                <w:lang w:val="en-US" w:eastAsia="zh-CN"/>
              </w:rPr>
            </w:pPr>
            <w:r>
              <w:rPr>
                <w:rFonts w:hint="eastAsia" w:ascii="仿宋_GB2312" w:eastAsia="仿宋_GB2312"/>
                <w:spacing w:val="-2"/>
                <w:sz w:val="21"/>
                <w:lang w:val="en-US" w:eastAsia="zh-CN"/>
              </w:rPr>
              <w:t>发票管理</w:t>
            </w:r>
          </w:p>
          <w:p w14:paraId="43BACABA">
            <w:pPr>
              <w:pStyle w:val="41"/>
              <w:snapToGrid w:val="0"/>
              <w:spacing w:line="240" w:lineRule="auto"/>
              <w:ind w:left="0" w:leftChars="0" w:right="0" w:rightChars="0" w:firstLine="0" w:firstLineChars="0"/>
              <w:jc w:val="center"/>
              <w:rPr>
                <w:rFonts w:hint="default" w:ascii="仿宋_GB2312" w:eastAsia="仿宋_GB2312"/>
                <w:spacing w:val="-2"/>
                <w:sz w:val="21"/>
                <w:lang w:val="en-US" w:eastAsia="zh-CN"/>
              </w:rPr>
            </w:pP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14:paraId="61727D04">
            <w:pPr>
              <w:pStyle w:val="41"/>
              <w:snapToGrid w:val="0"/>
              <w:spacing w:line="240" w:lineRule="auto"/>
              <w:ind w:left="0" w:leftChars="0" w:right="0" w:rightChars="0" w:firstLine="0" w:firstLineChars="0"/>
              <w:jc w:val="center"/>
              <w:rPr>
                <w:rFonts w:hint="eastAsia" w:ascii="仿宋_GB2312" w:hAnsi="仿宋_GB2312" w:eastAsia="仿宋_GB2312" w:cs="Times New Roman"/>
                <w:spacing w:val="-3"/>
                <w:kern w:val="2"/>
                <w:sz w:val="21"/>
                <w:lang w:val="en-US" w:eastAsia="zh-CN" w:bidi="ar-SA"/>
              </w:rPr>
            </w:pPr>
            <w:r>
              <w:rPr>
                <w:rFonts w:hint="eastAsia" w:ascii="仿宋_GB2312" w:eastAsia="仿宋_GB2312"/>
                <w:spacing w:val="-3"/>
                <w:sz w:val="21"/>
                <w:lang w:val="en-US" w:eastAsia="zh-CN"/>
              </w:rPr>
              <w:t>收票管理</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BEF8F59">
            <w:pPr>
              <w:pStyle w:val="41"/>
              <w:snapToGrid w:val="0"/>
              <w:spacing w:line="240" w:lineRule="auto"/>
              <w:ind w:left="0" w:leftChars="0" w:right="0" w:rightChars="0" w:firstLine="0" w:firstLineChars="0"/>
              <w:jc w:val="center"/>
              <w:rPr>
                <w:rFonts w:hint="eastAsia" w:ascii="仿宋_GB2312" w:hAnsi="仿宋_GB2312" w:eastAsia="仿宋_GB2312" w:cs="宋体"/>
                <w:kern w:val="2"/>
                <w:sz w:val="21"/>
                <w:szCs w:val="22"/>
                <w:lang w:val="en-US" w:eastAsia="zh-CN" w:bidi="ar-SA"/>
              </w:rPr>
            </w:pPr>
            <w:r>
              <w:rPr>
                <w:rFonts w:hint="eastAsia" w:ascii="仿宋_GB2312" w:eastAsia="仿宋_GB2312" w:cs="宋体"/>
                <w:sz w:val="21"/>
                <w:szCs w:val="22"/>
                <w:lang w:val="en-US" w:eastAsia="zh-CN" w:bidi="ar-SA"/>
              </w:rPr>
              <w:t>20个税号</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480CF8B9">
            <w:pPr>
              <w:pStyle w:val="41"/>
              <w:snapToGrid w:val="0"/>
              <w:spacing w:line="240" w:lineRule="auto"/>
              <w:ind w:left="0" w:leftChars="0" w:right="0" w:rightChars="0" w:firstLine="0" w:firstLineChars="0"/>
              <w:jc w:val="both"/>
              <w:rPr>
                <w:rFonts w:hint="eastAsia" w:ascii="仿宋_GB2312" w:eastAsia="仿宋_GB2312" w:cs="宋体"/>
                <w:sz w:val="21"/>
                <w:szCs w:val="22"/>
                <w:lang w:val="en-US" w:eastAsia="zh-CN" w:bidi="ar-SA"/>
              </w:rPr>
            </w:pPr>
          </w:p>
        </w:tc>
        <w:tc>
          <w:tcPr>
            <w:tcW w:w="1281" w:type="dxa"/>
            <w:tcBorders>
              <w:top w:val="single" w:color="auto" w:sz="4" w:space="0"/>
              <w:left w:val="single" w:color="auto" w:sz="4" w:space="0"/>
              <w:bottom w:val="single" w:color="auto" w:sz="4" w:space="0"/>
              <w:right w:val="single" w:color="auto" w:sz="12" w:space="0"/>
            </w:tcBorders>
            <w:shd w:val="clear" w:color="auto" w:fill="auto"/>
            <w:vAlign w:val="center"/>
          </w:tcPr>
          <w:p w14:paraId="4F54EB20">
            <w:pPr>
              <w:pStyle w:val="41"/>
              <w:snapToGrid w:val="0"/>
              <w:spacing w:line="240" w:lineRule="auto"/>
              <w:ind w:left="0" w:leftChars="0" w:right="0" w:rightChars="0" w:firstLine="0" w:firstLineChars="0"/>
              <w:jc w:val="both"/>
              <w:rPr>
                <w:rFonts w:hint="eastAsia" w:ascii="仿宋_GB2312" w:eastAsia="仿宋_GB2312" w:cs="宋体"/>
                <w:sz w:val="21"/>
                <w:szCs w:val="22"/>
                <w:lang w:val="en-US" w:eastAsia="zh-CN" w:bidi="ar-SA"/>
              </w:rPr>
            </w:pPr>
          </w:p>
        </w:tc>
      </w:tr>
      <w:tr w14:paraId="4345F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01" w:type="dxa"/>
            <w:vMerge w:val="continue"/>
            <w:tcBorders>
              <w:left w:val="single" w:color="auto" w:sz="12" w:space="0"/>
              <w:bottom w:val="single" w:color="auto" w:sz="4" w:space="0"/>
              <w:right w:val="single" w:color="auto" w:sz="4" w:space="0"/>
            </w:tcBorders>
            <w:shd w:val="clear" w:color="auto" w:fill="auto"/>
            <w:vAlign w:val="center"/>
          </w:tcPr>
          <w:p w14:paraId="3EA3726E">
            <w:pPr>
              <w:pStyle w:val="41"/>
              <w:snapToGrid w:val="0"/>
              <w:spacing w:line="240" w:lineRule="auto"/>
              <w:ind w:left="0" w:leftChars="0" w:right="0" w:rightChars="0" w:firstLine="0" w:firstLineChars="0"/>
              <w:jc w:val="center"/>
              <w:rPr>
                <w:rFonts w:hint="default" w:ascii="仿宋_GB2312" w:eastAsia="仿宋_GB2312"/>
                <w:spacing w:val="-2"/>
                <w:sz w:val="21"/>
                <w:lang w:val="en-US" w:eastAsia="zh-CN"/>
              </w:rPr>
            </w:pP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14:paraId="5D823A9F">
            <w:pPr>
              <w:pStyle w:val="41"/>
              <w:snapToGrid w:val="0"/>
              <w:spacing w:line="240" w:lineRule="auto"/>
              <w:ind w:left="0" w:leftChars="0" w:right="0" w:rightChars="0" w:firstLine="0" w:firstLineChars="0"/>
              <w:jc w:val="center"/>
              <w:rPr>
                <w:rFonts w:hint="default" w:ascii="仿宋_GB2312" w:eastAsia="仿宋_GB2312"/>
                <w:spacing w:val="-3"/>
                <w:sz w:val="21"/>
                <w:lang w:val="en-US" w:eastAsia="zh-CN"/>
              </w:rPr>
            </w:pPr>
            <w:r>
              <w:rPr>
                <w:rFonts w:hint="eastAsia"/>
                <w:spacing w:val="-3"/>
                <w:sz w:val="21"/>
                <w:lang w:val="en-US" w:eastAsia="zh-CN"/>
              </w:rPr>
              <w:t>发票校验份数（0.2元/份）</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7E2B81F">
            <w:pPr>
              <w:pStyle w:val="41"/>
              <w:snapToGrid w:val="0"/>
              <w:spacing w:line="240" w:lineRule="auto"/>
              <w:ind w:left="0" w:leftChars="0" w:right="0" w:rightChars="0" w:firstLine="0" w:firstLineChars="0"/>
              <w:jc w:val="center"/>
              <w:rPr>
                <w:rFonts w:hint="default" w:ascii="仿宋_GB2312" w:eastAsia="仿宋_GB2312" w:cs="宋体"/>
                <w:sz w:val="21"/>
                <w:szCs w:val="22"/>
                <w:lang w:val="en-US" w:eastAsia="zh-CN" w:bidi="ar-SA"/>
              </w:rPr>
            </w:pPr>
            <w:r>
              <w:rPr>
                <w:rFonts w:hint="eastAsia" w:cs="宋体"/>
                <w:sz w:val="21"/>
                <w:szCs w:val="22"/>
                <w:lang w:val="en-US" w:eastAsia="zh-CN" w:bidi="ar-SA"/>
              </w:rPr>
              <w:t>10万份</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65DD8EB9">
            <w:pPr>
              <w:pStyle w:val="41"/>
              <w:snapToGrid w:val="0"/>
              <w:spacing w:line="240" w:lineRule="auto"/>
              <w:ind w:left="0" w:leftChars="0" w:right="0" w:rightChars="0" w:firstLine="0" w:firstLineChars="0"/>
              <w:jc w:val="both"/>
              <w:rPr>
                <w:rFonts w:hint="eastAsia" w:ascii="仿宋_GB2312" w:eastAsia="仿宋_GB2312" w:cs="宋体"/>
                <w:sz w:val="21"/>
                <w:szCs w:val="22"/>
                <w:lang w:val="en-US" w:eastAsia="zh-CN" w:bidi="ar-SA"/>
              </w:rPr>
            </w:pPr>
          </w:p>
        </w:tc>
        <w:tc>
          <w:tcPr>
            <w:tcW w:w="1281" w:type="dxa"/>
            <w:tcBorders>
              <w:top w:val="single" w:color="auto" w:sz="4" w:space="0"/>
              <w:left w:val="single" w:color="auto" w:sz="4" w:space="0"/>
              <w:bottom w:val="single" w:color="auto" w:sz="4" w:space="0"/>
              <w:right w:val="single" w:color="auto" w:sz="12" w:space="0"/>
            </w:tcBorders>
            <w:shd w:val="clear" w:color="auto" w:fill="auto"/>
            <w:vAlign w:val="center"/>
          </w:tcPr>
          <w:p w14:paraId="2866E991">
            <w:pPr>
              <w:pStyle w:val="41"/>
              <w:snapToGrid w:val="0"/>
              <w:spacing w:line="240" w:lineRule="auto"/>
              <w:ind w:left="0" w:leftChars="0" w:right="0" w:rightChars="0" w:firstLine="0" w:firstLineChars="0"/>
              <w:jc w:val="both"/>
              <w:rPr>
                <w:rFonts w:hint="eastAsia" w:ascii="仿宋_GB2312" w:eastAsia="仿宋_GB2312" w:cs="宋体"/>
                <w:sz w:val="21"/>
                <w:szCs w:val="22"/>
                <w:lang w:val="en-US" w:eastAsia="zh-CN" w:bidi="ar-SA"/>
              </w:rPr>
            </w:pPr>
          </w:p>
        </w:tc>
      </w:tr>
      <w:tr w14:paraId="0D13A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01" w:type="dxa"/>
            <w:tcBorders>
              <w:top w:val="single" w:color="auto" w:sz="4" w:space="0"/>
              <w:left w:val="single" w:color="auto" w:sz="12" w:space="0"/>
              <w:bottom w:val="single" w:color="auto" w:sz="4" w:space="0"/>
              <w:right w:val="single" w:color="auto" w:sz="4" w:space="0"/>
            </w:tcBorders>
            <w:shd w:val="clear" w:color="auto" w:fill="auto"/>
            <w:vAlign w:val="center"/>
          </w:tcPr>
          <w:p w14:paraId="5A6C355E">
            <w:pPr>
              <w:pStyle w:val="41"/>
              <w:snapToGrid w:val="0"/>
              <w:spacing w:line="240" w:lineRule="auto"/>
              <w:ind w:left="0" w:leftChars="0" w:right="0" w:rightChars="0" w:firstLine="0" w:firstLineChars="0"/>
              <w:jc w:val="center"/>
              <w:rPr>
                <w:rFonts w:hint="default"/>
                <w:spacing w:val="-2"/>
                <w:sz w:val="21"/>
                <w:lang w:val="en-US" w:eastAsia="zh-CN"/>
              </w:rPr>
            </w:pPr>
            <w:r>
              <w:rPr>
                <w:rFonts w:hint="eastAsia"/>
                <w:spacing w:val="-2"/>
                <w:sz w:val="21"/>
                <w:lang w:val="en-US" w:eastAsia="zh-CN"/>
              </w:rPr>
              <w:t>首年软件订阅费（租赁费）</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14:paraId="298AFD4D">
            <w:pPr>
              <w:pStyle w:val="41"/>
              <w:snapToGrid w:val="0"/>
              <w:spacing w:line="240" w:lineRule="auto"/>
              <w:ind w:left="0" w:leftChars="0" w:right="0" w:rightChars="0" w:firstLine="0" w:firstLineChars="0"/>
              <w:jc w:val="center"/>
              <w:rPr>
                <w:rFonts w:hint="eastAsia"/>
                <w:spacing w:val="-3"/>
                <w:sz w:val="21"/>
                <w:lang w:val="en-US"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BBCE432">
            <w:pPr>
              <w:pStyle w:val="41"/>
              <w:snapToGrid w:val="0"/>
              <w:spacing w:line="240" w:lineRule="auto"/>
              <w:ind w:left="0" w:leftChars="0" w:right="0" w:rightChars="0" w:firstLine="0" w:firstLineChars="0"/>
              <w:jc w:val="both"/>
              <w:rPr>
                <w:rFonts w:hint="eastAsia" w:cs="宋体"/>
                <w:sz w:val="21"/>
                <w:szCs w:val="22"/>
                <w:lang w:val="en-US" w:eastAsia="zh-CN" w:bidi="ar-SA"/>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4B089833">
            <w:pPr>
              <w:pStyle w:val="41"/>
              <w:snapToGrid w:val="0"/>
              <w:spacing w:line="240" w:lineRule="auto"/>
              <w:ind w:left="0" w:leftChars="0" w:right="0" w:rightChars="0" w:firstLine="0" w:firstLineChars="0"/>
              <w:jc w:val="both"/>
              <w:rPr>
                <w:rFonts w:hint="eastAsia" w:cs="宋体"/>
                <w:sz w:val="21"/>
                <w:szCs w:val="22"/>
                <w:lang w:val="en-US" w:eastAsia="zh-CN" w:bidi="ar-SA"/>
              </w:rPr>
            </w:pPr>
          </w:p>
        </w:tc>
        <w:tc>
          <w:tcPr>
            <w:tcW w:w="1281" w:type="dxa"/>
            <w:tcBorders>
              <w:top w:val="single" w:color="auto" w:sz="4" w:space="0"/>
              <w:left w:val="single" w:color="auto" w:sz="4" w:space="0"/>
              <w:bottom w:val="single" w:color="auto" w:sz="4" w:space="0"/>
              <w:right w:val="single" w:color="auto" w:sz="12" w:space="0"/>
            </w:tcBorders>
            <w:shd w:val="clear" w:color="auto" w:fill="auto"/>
            <w:vAlign w:val="center"/>
          </w:tcPr>
          <w:p w14:paraId="74A571F4">
            <w:pPr>
              <w:pStyle w:val="41"/>
              <w:snapToGrid w:val="0"/>
              <w:spacing w:line="240" w:lineRule="auto"/>
              <w:ind w:left="0" w:leftChars="0" w:right="0" w:rightChars="0" w:firstLine="0" w:firstLineChars="0"/>
              <w:jc w:val="both"/>
              <w:rPr>
                <w:rFonts w:hint="eastAsia" w:cs="宋体"/>
                <w:sz w:val="21"/>
                <w:szCs w:val="22"/>
                <w:lang w:val="en-US" w:eastAsia="zh-CN" w:bidi="ar-SA"/>
              </w:rPr>
            </w:pPr>
          </w:p>
        </w:tc>
      </w:tr>
      <w:tr w14:paraId="61FE8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01" w:type="dxa"/>
            <w:tcBorders>
              <w:top w:val="single" w:color="auto" w:sz="4" w:space="0"/>
              <w:left w:val="single" w:color="auto" w:sz="12" w:space="0"/>
              <w:bottom w:val="single" w:color="auto" w:sz="4" w:space="0"/>
              <w:right w:val="single" w:color="auto" w:sz="4" w:space="0"/>
            </w:tcBorders>
            <w:shd w:val="clear" w:color="auto" w:fill="auto"/>
            <w:vAlign w:val="center"/>
          </w:tcPr>
          <w:p w14:paraId="7B4E0B34">
            <w:pPr>
              <w:pStyle w:val="41"/>
              <w:snapToGrid w:val="0"/>
              <w:spacing w:line="240" w:lineRule="auto"/>
              <w:ind w:left="0" w:leftChars="0" w:right="0" w:rightChars="0" w:firstLine="0" w:firstLineChars="0"/>
              <w:jc w:val="center"/>
              <w:rPr>
                <w:rFonts w:hint="eastAsia"/>
                <w:spacing w:val="-2"/>
                <w:sz w:val="21"/>
                <w:lang w:val="en-US" w:eastAsia="zh-CN"/>
              </w:rPr>
            </w:pPr>
            <w:r>
              <w:rPr>
                <w:rFonts w:hint="eastAsia"/>
                <w:spacing w:val="-2"/>
                <w:sz w:val="21"/>
                <w:lang w:val="en-US" w:eastAsia="zh-CN"/>
              </w:rPr>
              <w:t>2年软件订阅费（租赁费）</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14:paraId="5372E8FD">
            <w:pPr>
              <w:pStyle w:val="41"/>
              <w:snapToGrid w:val="0"/>
              <w:spacing w:line="240" w:lineRule="auto"/>
              <w:ind w:left="0" w:leftChars="0" w:right="0" w:rightChars="0" w:firstLine="0" w:firstLineChars="0"/>
              <w:jc w:val="center"/>
              <w:rPr>
                <w:rFonts w:hint="eastAsia"/>
                <w:spacing w:val="-3"/>
                <w:sz w:val="21"/>
                <w:lang w:val="en-US"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B694439">
            <w:pPr>
              <w:pStyle w:val="41"/>
              <w:snapToGrid w:val="0"/>
              <w:spacing w:line="240" w:lineRule="auto"/>
              <w:ind w:left="0" w:leftChars="0" w:right="0" w:rightChars="0" w:firstLine="0" w:firstLineChars="0"/>
              <w:jc w:val="both"/>
              <w:rPr>
                <w:rFonts w:hint="eastAsia" w:cs="宋体"/>
                <w:sz w:val="21"/>
                <w:szCs w:val="22"/>
                <w:lang w:val="en-US" w:eastAsia="zh-CN" w:bidi="ar-SA"/>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0CDA9F32">
            <w:pPr>
              <w:pStyle w:val="41"/>
              <w:snapToGrid w:val="0"/>
              <w:spacing w:line="240" w:lineRule="auto"/>
              <w:ind w:left="0" w:leftChars="0" w:right="0" w:rightChars="0" w:firstLine="0" w:firstLineChars="0"/>
              <w:jc w:val="both"/>
              <w:rPr>
                <w:rFonts w:hint="eastAsia" w:cs="宋体"/>
                <w:sz w:val="21"/>
                <w:szCs w:val="22"/>
                <w:lang w:val="en-US" w:eastAsia="zh-CN" w:bidi="ar-SA"/>
              </w:rPr>
            </w:pPr>
          </w:p>
        </w:tc>
        <w:tc>
          <w:tcPr>
            <w:tcW w:w="1281" w:type="dxa"/>
            <w:tcBorders>
              <w:top w:val="single" w:color="auto" w:sz="4" w:space="0"/>
              <w:left w:val="single" w:color="auto" w:sz="4" w:space="0"/>
              <w:bottom w:val="single" w:color="auto" w:sz="4" w:space="0"/>
              <w:right w:val="single" w:color="auto" w:sz="12" w:space="0"/>
            </w:tcBorders>
            <w:shd w:val="clear" w:color="auto" w:fill="auto"/>
            <w:vAlign w:val="center"/>
          </w:tcPr>
          <w:p w14:paraId="5823C00F">
            <w:pPr>
              <w:pStyle w:val="41"/>
              <w:snapToGrid w:val="0"/>
              <w:spacing w:line="240" w:lineRule="auto"/>
              <w:ind w:left="0" w:leftChars="0" w:right="0" w:rightChars="0" w:firstLine="0" w:firstLineChars="0"/>
              <w:jc w:val="both"/>
              <w:rPr>
                <w:rFonts w:hint="eastAsia" w:cs="宋体"/>
                <w:sz w:val="21"/>
                <w:szCs w:val="22"/>
                <w:lang w:val="en-US" w:eastAsia="zh-CN" w:bidi="ar-SA"/>
              </w:rPr>
            </w:pPr>
          </w:p>
        </w:tc>
      </w:tr>
      <w:tr w14:paraId="57243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01" w:type="dxa"/>
            <w:tcBorders>
              <w:top w:val="single" w:color="auto" w:sz="4" w:space="0"/>
              <w:left w:val="single" w:color="auto" w:sz="12" w:space="0"/>
              <w:bottom w:val="single" w:color="auto" w:sz="4" w:space="0"/>
              <w:right w:val="single" w:color="auto" w:sz="4" w:space="0"/>
            </w:tcBorders>
            <w:shd w:val="clear" w:color="auto" w:fill="auto"/>
            <w:vAlign w:val="center"/>
          </w:tcPr>
          <w:p w14:paraId="1C107921">
            <w:pPr>
              <w:pStyle w:val="41"/>
              <w:snapToGrid w:val="0"/>
              <w:spacing w:line="240" w:lineRule="auto"/>
              <w:ind w:left="0" w:leftChars="0" w:right="0" w:rightChars="0" w:firstLine="0" w:firstLineChars="0"/>
              <w:jc w:val="center"/>
              <w:rPr>
                <w:rFonts w:hint="default" w:ascii="仿宋_GB2312" w:eastAsia="仿宋_GB2312"/>
                <w:spacing w:val="-2"/>
                <w:sz w:val="21"/>
                <w:lang w:val="en-US" w:eastAsia="zh-CN"/>
              </w:rPr>
            </w:pPr>
            <w:r>
              <w:rPr>
                <w:rFonts w:hint="eastAsia" w:ascii="仿宋_GB2312" w:eastAsia="仿宋_GB2312"/>
                <w:spacing w:val="-2"/>
                <w:sz w:val="21"/>
                <w:lang w:val="en-US" w:eastAsia="zh-CN"/>
              </w:rPr>
              <w:t>人工费（实施开发费用）</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14:paraId="307C8925">
            <w:pPr>
              <w:pStyle w:val="41"/>
              <w:snapToGrid w:val="0"/>
              <w:spacing w:line="240" w:lineRule="auto"/>
              <w:ind w:left="0" w:leftChars="0" w:right="0" w:rightChars="0" w:firstLine="0" w:firstLineChars="0"/>
              <w:jc w:val="center"/>
              <w:rPr>
                <w:rFonts w:hint="default" w:ascii="仿宋_GB2312" w:eastAsia="仿宋_GB2312"/>
                <w:spacing w:val="-3"/>
                <w:sz w:val="21"/>
                <w:lang w:val="en-US"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6D32C15">
            <w:pPr>
              <w:pStyle w:val="41"/>
              <w:snapToGrid w:val="0"/>
              <w:spacing w:line="240" w:lineRule="auto"/>
              <w:ind w:left="0" w:leftChars="0" w:right="0" w:rightChars="0" w:firstLine="0" w:firstLineChars="0"/>
              <w:jc w:val="both"/>
              <w:rPr>
                <w:rFonts w:hint="default" w:ascii="仿宋_GB2312" w:eastAsia="仿宋_GB2312" w:cs="宋体"/>
                <w:sz w:val="21"/>
                <w:szCs w:val="22"/>
                <w:lang w:val="en-US" w:eastAsia="zh-CN" w:bidi="ar-SA"/>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0291C9BD">
            <w:pPr>
              <w:pStyle w:val="41"/>
              <w:snapToGrid w:val="0"/>
              <w:spacing w:line="240" w:lineRule="auto"/>
              <w:ind w:left="0" w:leftChars="0" w:right="0" w:rightChars="0" w:firstLine="0" w:firstLineChars="0"/>
              <w:jc w:val="both"/>
              <w:rPr>
                <w:rFonts w:hint="default" w:ascii="仿宋_GB2312" w:eastAsia="仿宋_GB2312" w:cs="宋体"/>
                <w:sz w:val="21"/>
                <w:szCs w:val="22"/>
                <w:lang w:val="en-US" w:eastAsia="zh-CN" w:bidi="ar-SA"/>
              </w:rPr>
            </w:pPr>
          </w:p>
        </w:tc>
        <w:tc>
          <w:tcPr>
            <w:tcW w:w="1281" w:type="dxa"/>
            <w:tcBorders>
              <w:top w:val="single" w:color="auto" w:sz="4" w:space="0"/>
              <w:left w:val="single" w:color="auto" w:sz="4" w:space="0"/>
              <w:bottom w:val="single" w:color="auto" w:sz="4" w:space="0"/>
              <w:right w:val="single" w:color="auto" w:sz="12" w:space="0"/>
            </w:tcBorders>
            <w:shd w:val="clear" w:color="auto" w:fill="auto"/>
            <w:vAlign w:val="center"/>
          </w:tcPr>
          <w:p w14:paraId="059A7DE3">
            <w:pPr>
              <w:pStyle w:val="41"/>
              <w:snapToGrid w:val="0"/>
              <w:spacing w:line="240" w:lineRule="auto"/>
              <w:ind w:left="0" w:leftChars="0" w:right="0" w:rightChars="0" w:firstLine="0" w:firstLineChars="0"/>
              <w:jc w:val="both"/>
              <w:rPr>
                <w:rFonts w:hint="eastAsia" w:ascii="仿宋_GB2312" w:eastAsia="仿宋_GB2312" w:cs="宋体"/>
                <w:sz w:val="21"/>
                <w:szCs w:val="22"/>
                <w:lang w:val="en-US" w:eastAsia="zh-CN" w:bidi="ar-SA"/>
              </w:rPr>
            </w:pPr>
          </w:p>
        </w:tc>
      </w:tr>
      <w:tr w14:paraId="4D3F3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01" w:type="dxa"/>
            <w:tcBorders>
              <w:top w:val="single" w:color="auto" w:sz="4" w:space="0"/>
              <w:left w:val="single" w:color="auto" w:sz="12" w:space="0"/>
              <w:bottom w:val="single" w:color="auto" w:sz="12" w:space="0"/>
              <w:right w:val="single" w:color="auto" w:sz="4" w:space="0"/>
            </w:tcBorders>
            <w:shd w:val="clear" w:color="auto" w:fill="auto"/>
            <w:vAlign w:val="center"/>
          </w:tcPr>
          <w:p w14:paraId="4B8ABFD5">
            <w:pPr>
              <w:pStyle w:val="41"/>
              <w:snapToGrid w:val="0"/>
              <w:spacing w:line="240" w:lineRule="auto"/>
              <w:ind w:left="0" w:leftChars="0" w:right="0" w:rightChars="0" w:firstLine="0" w:firstLineChars="0"/>
              <w:jc w:val="center"/>
              <w:rPr>
                <w:rFonts w:hint="default"/>
                <w:spacing w:val="-2"/>
                <w:sz w:val="21"/>
                <w:lang w:val="en-US" w:eastAsia="zh-CN"/>
              </w:rPr>
            </w:pPr>
            <w:r>
              <w:rPr>
                <w:rFonts w:hint="eastAsia"/>
                <w:spacing w:val="-2"/>
                <w:sz w:val="21"/>
                <w:lang w:val="en-US" w:eastAsia="zh-CN"/>
              </w:rPr>
              <w:t>整体项目费用</w:t>
            </w:r>
          </w:p>
        </w:tc>
        <w:tc>
          <w:tcPr>
            <w:tcW w:w="2450" w:type="dxa"/>
            <w:tcBorders>
              <w:top w:val="single" w:color="auto" w:sz="4" w:space="0"/>
              <w:left w:val="single" w:color="auto" w:sz="4" w:space="0"/>
              <w:bottom w:val="single" w:color="auto" w:sz="12" w:space="0"/>
              <w:right w:val="single" w:color="auto" w:sz="4" w:space="0"/>
            </w:tcBorders>
            <w:shd w:val="clear" w:color="auto" w:fill="auto"/>
            <w:vAlign w:val="center"/>
          </w:tcPr>
          <w:p w14:paraId="769834A1">
            <w:pPr>
              <w:pStyle w:val="41"/>
              <w:snapToGrid w:val="0"/>
              <w:spacing w:line="240" w:lineRule="auto"/>
              <w:ind w:left="0" w:leftChars="0" w:right="0" w:rightChars="0" w:firstLine="0" w:firstLineChars="0"/>
              <w:jc w:val="center"/>
              <w:rPr>
                <w:rFonts w:hint="default"/>
                <w:spacing w:val="-3"/>
                <w:sz w:val="21"/>
                <w:lang w:val="en-US" w:eastAsia="zh-CN"/>
              </w:rPr>
            </w:pPr>
          </w:p>
        </w:tc>
        <w:tc>
          <w:tcPr>
            <w:tcW w:w="1450" w:type="dxa"/>
            <w:tcBorders>
              <w:top w:val="single" w:color="auto" w:sz="4" w:space="0"/>
              <w:left w:val="single" w:color="auto" w:sz="4" w:space="0"/>
              <w:bottom w:val="single" w:color="auto" w:sz="12" w:space="0"/>
              <w:right w:val="single" w:color="auto" w:sz="4" w:space="0"/>
            </w:tcBorders>
            <w:shd w:val="clear" w:color="auto" w:fill="auto"/>
            <w:vAlign w:val="center"/>
          </w:tcPr>
          <w:p w14:paraId="3FE46486">
            <w:pPr>
              <w:pStyle w:val="41"/>
              <w:snapToGrid w:val="0"/>
              <w:spacing w:line="240" w:lineRule="auto"/>
              <w:ind w:left="0" w:leftChars="0" w:right="0" w:rightChars="0" w:firstLine="0" w:firstLineChars="0"/>
              <w:jc w:val="both"/>
              <w:rPr>
                <w:rFonts w:hint="eastAsia" w:cs="宋体"/>
                <w:sz w:val="21"/>
                <w:szCs w:val="22"/>
                <w:lang w:val="en-US" w:eastAsia="zh-CN" w:bidi="ar-SA"/>
              </w:rPr>
            </w:pPr>
          </w:p>
        </w:tc>
        <w:tc>
          <w:tcPr>
            <w:tcW w:w="1065" w:type="dxa"/>
            <w:tcBorders>
              <w:top w:val="single" w:color="auto" w:sz="4" w:space="0"/>
              <w:left w:val="single" w:color="auto" w:sz="4" w:space="0"/>
              <w:bottom w:val="single" w:color="auto" w:sz="12" w:space="0"/>
              <w:right w:val="single" w:color="auto" w:sz="4" w:space="0"/>
            </w:tcBorders>
            <w:shd w:val="clear" w:color="auto" w:fill="auto"/>
            <w:vAlign w:val="center"/>
          </w:tcPr>
          <w:p w14:paraId="2471E3B7">
            <w:pPr>
              <w:pStyle w:val="41"/>
              <w:snapToGrid w:val="0"/>
              <w:spacing w:line="240" w:lineRule="auto"/>
              <w:ind w:left="0" w:leftChars="0" w:right="0" w:rightChars="0" w:firstLine="0" w:firstLineChars="0"/>
              <w:jc w:val="both"/>
              <w:rPr>
                <w:rFonts w:hint="eastAsia" w:cs="宋体"/>
                <w:sz w:val="21"/>
                <w:szCs w:val="22"/>
                <w:lang w:val="en-US" w:eastAsia="zh-CN" w:bidi="ar-SA"/>
              </w:rPr>
            </w:pPr>
          </w:p>
        </w:tc>
        <w:tc>
          <w:tcPr>
            <w:tcW w:w="1281" w:type="dxa"/>
            <w:tcBorders>
              <w:top w:val="single" w:color="auto" w:sz="4" w:space="0"/>
              <w:left w:val="single" w:color="auto" w:sz="4" w:space="0"/>
              <w:bottom w:val="single" w:color="auto" w:sz="12" w:space="0"/>
              <w:right w:val="single" w:color="auto" w:sz="12" w:space="0"/>
            </w:tcBorders>
            <w:shd w:val="clear" w:color="auto" w:fill="auto"/>
            <w:vAlign w:val="center"/>
          </w:tcPr>
          <w:p w14:paraId="77DE3270">
            <w:pPr>
              <w:pStyle w:val="41"/>
              <w:snapToGrid w:val="0"/>
              <w:spacing w:line="240" w:lineRule="auto"/>
              <w:ind w:left="0" w:leftChars="0" w:right="0" w:rightChars="0" w:firstLine="0" w:firstLineChars="0"/>
              <w:jc w:val="both"/>
              <w:rPr>
                <w:rFonts w:hint="eastAsia" w:cs="宋体"/>
                <w:sz w:val="21"/>
                <w:szCs w:val="22"/>
                <w:lang w:val="en-US" w:eastAsia="zh-CN" w:bidi="ar-SA"/>
              </w:rPr>
            </w:pPr>
          </w:p>
        </w:tc>
      </w:tr>
    </w:tbl>
    <w:p w14:paraId="455EAAF4">
      <w:pPr>
        <w:spacing w:line="320" w:lineRule="exact"/>
        <w:ind w:firstLine="0" w:firstLineChars="0"/>
        <w:rPr>
          <w:rFonts w:hint="eastAsia" w:ascii="仿宋_GB2312" w:hAnsi="仿宋_GB2312" w:eastAsia="仿宋_GB2312" w:cs="仿宋_GB2312"/>
          <w:i w:val="0"/>
          <w:iCs/>
          <w:sz w:val="22"/>
          <w:szCs w:val="20"/>
        </w:rPr>
      </w:pPr>
      <w:r>
        <w:rPr>
          <w:rFonts w:hint="eastAsia" w:ascii="仿宋_GB2312" w:hAnsi="仿宋_GB2312" w:eastAsia="仿宋_GB2312" w:cs="仿宋_GB2312"/>
          <w:i w:val="0"/>
          <w:iCs/>
          <w:sz w:val="22"/>
          <w:szCs w:val="20"/>
        </w:rPr>
        <w:t>注：1.</w:t>
      </w:r>
      <w:r>
        <w:rPr>
          <w:rFonts w:hint="eastAsia" w:cs="仿宋_GB2312"/>
          <w:i w:val="0"/>
          <w:iCs/>
          <w:sz w:val="22"/>
          <w:szCs w:val="20"/>
          <w:lang w:eastAsia="zh-CN"/>
        </w:rPr>
        <w:t>供应商</w:t>
      </w:r>
      <w:r>
        <w:rPr>
          <w:rFonts w:hint="eastAsia" w:ascii="仿宋_GB2312" w:hAnsi="仿宋_GB2312" w:eastAsia="仿宋_GB2312" w:cs="仿宋_GB2312"/>
          <w:i w:val="0"/>
          <w:iCs/>
          <w:sz w:val="22"/>
          <w:szCs w:val="20"/>
        </w:rPr>
        <w:t>可根据品目数量自行增</w:t>
      </w:r>
      <w:r>
        <w:rPr>
          <w:rFonts w:hint="eastAsia" w:ascii="仿宋_GB2312" w:hAnsi="仿宋_GB2312" w:eastAsia="仿宋_GB2312" w:cs="仿宋_GB2312"/>
          <w:i w:val="0"/>
          <w:iCs/>
          <w:sz w:val="22"/>
          <w:szCs w:val="20"/>
          <w:lang w:val="en-US" w:eastAsia="zh-CN"/>
        </w:rPr>
        <w:t>加</w:t>
      </w:r>
      <w:r>
        <w:rPr>
          <w:rFonts w:hint="eastAsia" w:ascii="仿宋_GB2312" w:hAnsi="仿宋_GB2312" w:eastAsia="仿宋_GB2312" w:cs="仿宋_GB2312"/>
          <w:i w:val="0"/>
          <w:iCs/>
          <w:sz w:val="22"/>
          <w:szCs w:val="20"/>
        </w:rPr>
        <w:t>，但每页都须有</w:t>
      </w:r>
      <w:r>
        <w:rPr>
          <w:rFonts w:hint="eastAsia" w:cs="仿宋_GB2312"/>
          <w:i w:val="0"/>
          <w:iCs/>
          <w:sz w:val="22"/>
          <w:szCs w:val="20"/>
          <w:lang w:eastAsia="zh-CN"/>
        </w:rPr>
        <w:t>供应商</w:t>
      </w:r>
      <w:r>
        <w:rPr>
          <w:rFonts w:hint="eastAsia" w:ascii="仿宋_GB2312" w:hAnsi="仿宋_GB2312" w:eastAsia="仿宋_GB2312" w:cs="仿宋_GB2312"/>
          <w:i w:val="0"/>
          <w:iCs/>
          <w:sz w:val="22"/>
          <w:szCs w:val="20"/>
        </w:rPr>
        <w:t>代表签字和</w:t>
      </w:r>
      <w:r>
        <w:rPr>
          <w:rFonts w:hint="eastAsia" w:cs="仿宋_GB2312"/>
          <w:i w:val="0"/>
          <w:iCs/>
          <w:sz w:val="22"/>
          <w:szCs w:val="20"/>
          <w:lang w:eastAsia="zh-CN"/>
        </w:rPr>
        <w:t>供应商</w:t>
      </w:r>
      <w:r>
        <w:rPr>
          <w:rFonts w:hint="eastAsia" w:ascii="仿宋_GB2312" w:hAnsi="仿宋_GB2312" w:eastAsia="仿宋_GB2312" w:cs="仿宋_GB2312"/>
          <w:i w:val="0"/>
          <w:iCs/>
          <w:sz w:val="22"/>
          <w:szCs w:val="20"/>
        </w:rPr>
        <w:t>盖章。</w:t>
      </w:r>
    </w:p>
    <w:p w14:paraId="5BD12B6E">
      <w:pPr>
        <w:spacing w:line="320" w:lineRule="exact"/>
        <w:rPr>
          <w:rFonts w:hint="eastAsia" w:ascii="仿宋_GB2312" w:hAnsi="仿宋_GB2312" w:eastAsia="仿宋_GB2312" w:cs="仿宋_GB2312"/>
          <w:i w:val="0"/>
          <w:iCs/>
          <w:sz w:val="22"/>
          <w:szCs w:val="20"/>
        </w:rPr>
      </w:pPr>
      <w:r>
        <w:rPr>
          <w:rFonts w:hint="eastAsia" w:ascii="仿宋_GB2312" w:hAnsi="仿宋_GB2312" w:eastAsia="仿宋_GB2312" w:cs="仿宋_GB2312"/>
          <w:i w:val="0"/>
          <w:iCs/>
          <w:sz w:val="22"/>
          <w:szCs w:val="20"/>
        </w:rPr>
        <w:t>2.投标单位应按照招标文件规定的采购目录进行完整投标，不得仅对本次采购项目的部分进行投标，否则其投标将被拒绝</w:t>
      </w:r>
    </w:p>
    <w:p w14:paraId="027BFE2C">
      <w:pPr>
        <w:spacing w:line="320" w:lineRule="exact"/>
        <w:rPr>
          <w:rFonts w:hint="eastAsia" w:ascii="仿宋_GB2312" w:hAnsi="仿宋_GB2312" w:eastAsia="仿宋_GB2312" w:cs="仿宋_GB2312"/>
          <w:i w:val="0"/>
          <w:iCs/>
          <w:sz w:val="22"/>
        </w:rPr>
      </w:pPr>
      <w:r>
        <w:rPr>
          <w:rFonts w:hint="eastAsia" w:ascii="仿宋_GB2312" w:hAnsi="仿宋_GB2312" w:eastAsia="仿宋_GB2312" w:cs="仿宋_GB2312"/>
          <w:i w:val="0"/>
          <w:iCs/>
          <w:sz w:val="24"/>
        </w:rPr>
        <w:t>3、</w:t>
      </w:r>
      <w:r>
        <w:rPr>
          <w:rFonts w:hint="eastAsia" w:cs="仿宋_GB2312"/>
          <w:i w:val="0"/>
          <w:iCs/>
          <w:lang w:eastAsia="zh-CN"/>
        </w:rPr>
        <w:t>供应商</w:t>
      </w:r>
      <w:r>
        <w:rPr>
          <w:rFonts w:hint="eastAsia" w:ascii="仿宋_GB2312" w:hAnsi="仿宋_GB2312" w:eastAsia="仿宋_GB2312" w:cs="仿宋_GB2312"/>
          <w:i w:val="0"/>
          <w:iCs/>
        </w:rPr>
        <w:t>须对所有“可注册用户数”（</w:t>
      </w:r>
      <w:r>
        <w:rPr>
          <w:rFonts w:hint="eastAsia" w:ascii="仿宋_GB2312" w:hAnsi="仿宋_GB2312" w:eastAsia="仿宋_GB2312" w:cs="仿宋_GB2312"/>
          <w:i w:val="0"/>
          <w:iCs/>
          <w:highlight w:val="yellow"/>
        </w:rPr>
        <w:t>详见招标文件第</w:t>
      </w:r>
      <w:r>
        <w:rPr>
          <w:rFonts w:hint="eastAsia" w:cs="仿宋_GB2312"/>
          <w:i w:val="0"/>
          <w:iCs/>
          <w:highlight w:val="yellow"/>
          <w:lang w:val="en-US" w:eastAsia="zh-CN"/>
        </w:rPr>
        <w:t>六</w:t>
      </w:r>
      <w:r>
        <w:rPr>
          <w:rFonts w:hint="eastAsia" w:ascii="仿宋_GB2312" w:hAnsi="仿宋_GB2312" w:eastAsia="仿宋_GB2312" w:cs="仿宋_GB2312"/>
          <w:i w:val="0"/>
          <w:iCs/>
          <w:highlight w:val="yellow"/>
        </w:rPr>
        <w:t>章技术需求</w:t>
      </w:r>
      <w:r>
        <w:rPr>
          <w:rFonts w:hint="eastAsia" w:ascii="仿宋_GB2312" w:hAnsi="仿宋_GB2312" w:eastAsia="仿宋_GB2312" w:cs="仿宋_GB2312"/>
          <w:i w:val="0"/>
          <w:iCs/>
        </w:rPr>
        <w:t>）模块基于每用户数进行单价和总价报价，后续如实际账号数发生变动以单价进</w:t>
      </w:r>
      <w:r>
        <w:rPr>
          <w:rFonts w:hint="eastAsia" w:ascii="仿宋_GB2312" w:hAnsi="仿宋_GB2312" w:eastAsia="仿宋_GB2312" w:cs="仿宋_GB2312"/>
          <w:i w:val="0"/>
          <w:iCs/>
          <w:sz w:val="22"/>
        </w:rPr>
        <w:t>行结算。</w:t>
      </w:r>
    </w:p>
    <w:p w14:paraId="69D27DFA">
      <w:pPr>
        <w:spacing w:line="320" w:lineRule="exact"/>
        <w:ind w:firstLine="0" w:firstLineChars="0"/>
        <w:rPr>
          <w:rFonts w:hint="eastAsia" w:ascii="仿宋_GB2312" w:hAnsi="仿宋_GB2312" w:eastAsia="仿宋_GB2312" w:cs="仿宋_GB2312"/>
          <w:iCs/>
          <w:sz w:val="22"/>
        </w:rPr>
      </w:pPr>
      <w:r>
        <w:rPr>
          <w:rFonts w:hint="eastAsia" w:ascii="仿宋_GB2312" w:hAnsi="仿宋_GB2312" w:eastAsia="仿宋_GB2312" w:cs="仿宋_GB2312"/>
          <w:i w:val="0"/>
          <w:iCs/>
          <w:sz w:val="22"/>
        </w:rPr>
        <w:t>4、</w:t>
      </w:r>
      <w:r>
        <w:rPr>
          <w:rFonts w:hint="eastAsia" w:ascii="仿宋_GB2312" w:hAnsi="仿宋_GB2312" w:eastAsia="仿宋_GB2312" w:cs="仿宋_GB2312"/>
          <w:iCs/>
          <w:sz w:val="22"/>
        </w:rPr>
        <w:t>此报价含</w:t>
      </w:r>
      <w:r>
        <w:rPr>
          <w:rFonts w:hint="eastAsia" w:ascii="仿宋_GB2312" w:hAnsi="仿宋_GB2312" w:eastAsia="仿宋_GB2312" w:cs="仿宋_GB2312"/>
          <w:iCs/>
          <w:sz w:val="22"/>
          <w:lang w:val="en-US" w:eastAsia="zh-CN"/>
        </w:rPr>
        <w:t>两</w:t>
      </w:r>
      <w:r>
        <w:rPr>
          <w:rFonts w:hint="eastAsia" w:ascii="仿宋_GB2312" w:hAnsi="仿宋_GB2312" w:eastAsia="仿宋_GB2312" w:cs="仿宋_GB2312"/>
          <w:iCs/>
          <w:sz w:val="22"/>
        </w:rPr>
        <w:t>年的</w:t>
      </w:r>
      <w:r>
        <w:rPr>
          <w:rFonts w:hint="eastAsia" w:ascii="仿宋_GB2312" w:hAnsi="仿宋_GB2312" w:eastAsia="仿宋_GB2312" w:cs="仿宋_GB2312"/>
          <w:iCs/>
          <w:sz w:val="22"/>
          <w:lang w:val="en-US" w:eastAsia="zh-CN"/>
        </w:rPr>
        <w:t>产品订阅费</w:t>
      </w:r>
      <w:r>
        <w:rPr>
          <w:rFonts w:hint="eastAsia" w:cs="仿宋_GB2312"/>
          <w:iCs/>
          <w:sz w:val="22"/>
          <w:lang w:val="en-US" w:eastAsia="zh-CN"/>
        </w:rPr>
        <w:t>（租赁费）</w:t>
      </w:r>
      <w:r>
        <w:rPr>
          <w:rFonts w:hint="eastAsia" w:ascii="仿宋_GB2312" w:hAnsi="仿宋_GB2312" w:eastAsia="仿宋_GB2312" w:cs="仿宋_GB2312"/>
          <w:iCs/>
          <w:sz w:val="22"/>
          <w:lang w:val="en-US" w:eastAsia="zh-CN"/>
        </w:rPr>
        <w:t>或</w:t>
      </w:r>
      <w:r>
        <w:rPr>
          <w:rFonts w:hint="eastAsia" w:ascii="仿宋_GB2312" w:hAnsi="仿宋_GB2312" w:eastAsia="仿宋_GB2312" w:cs="仿宋_GB2312"/>
          <w:iCs/>
          <w:sz w:val="22"/>
        </w:rPr>
        <w:t>服务费及其它满足软件</w:t>
      </w:r>
      <w:r>
        <w:rPr>
          <w:rFonts w:hint="eastAsia" w:ascii="仿宋_GB2312" w:hAnsi="仿宋_GB2312" w:eastAsia="仿宋_GB2312" w:cs="仿宋_GB2312"/>
          <w:iCs/>
          <w:sz w:val="22"/>
          <w:lang w:val="en-US" w:eastAsia="zh-CN"/>
        </w:rPr>
        <w:t>2</w:t>
      </w:r>
      <w:r>
        <w:rPr>
          <w:rFonts w:hint="eastAsia" w:ascii="仿宋_GB2312" w:hAnsi="仿宋_GB2312" w:eastAsia="仿宋_GB2312" w:cs="仿宋_GB2312"/>
          <w:iCs/>
          <w:sz w:val="22"/>
        </w:rPr>
        <w:t>年正常运行的组件费用。</w:t>
      </w:r>
    </w:p>
    <w:p w14:paraId="45967AAA">
      <w:pPr>
        <w:spacing w:line="432" w:lineRule="auto"/>
        <w:ind w:firstLine="0" w:firstLineChars="0"/>
        <w:rPr>
          <w:rFonts w:hint="default" w:ascii="仿宋_GB2312" w:hAnsi="仿宋_GB2312" w:eastAsia="仿宋_GB2312" w:cs="仿宋_GB2312"/>
          <w:lang w:val="en-US" w:eastAsia="zh-CN"/>
        </w:rPr>
      </w:pPr>
      <w:r>
        <w:rPr>
          <w:rFonts w:hint="eastAsia" w:cs="仿宋_GB2312"/>
          <w:lang w:val="en-US" w:eastAsia="zh-CN"/>
        </w:rPr>
        <w:t>5.发票校验以实际校验数量进行费用支付，暂定10万份。</w:t>
      </w:r>
    </w:p>
    <w:p w14:paraId="241642FD">
      <w:pPr>
        <w:spacing w:line="432" w:lineRule="auto"/>
        <w:ind w:left="0" w:leftChars="0" w:firstLine="0" w:firstLineChars="0"/>
        <w:rPr>
          <w:rFonts w:hint="eastAsia" w:ascii="仿宋_GB2312" w:hAnsi="仿宋_GB2312" w:eastAsia="仿宋_GB2312" w:cs="仿宋_GB2312"/>
        </w:rPr>
      </w:pPr>
    </w:p>
    <w:p w14:paraId="4B37CF2A">
      <w:pPr>
        <w:spacing w:line="432" w:lineRule="auto"/>
        <w:rPr>
          <w:rFonts w:ascii="宋体" w:hAnsi="宋体"/>
          <w:sz w:val="24"/>
        </w:rPr>
      </w:pPr>
      <w:r>
        <w:rPr>
          <w:rFonts w:hint="eastAsia" w:ascii="宋体" w:hAnsi="宋体"/>
          <w:sz w:val="24"/>
          <w:lang w:eastAsia="zh-CN"/>
        </w:rPr>
        <w:t>供应商</w:t>
      </w:r>
      <w:r>
        <w:rPr>
          <w:rFonts w:hint="eastAsia" w:ascii="宋体" w:hAnsi="宋体"/>
          <w:sz w:val="24"/>
        </w:rPr>
        <w:t>（公章</w:t>
      </w:r>
      <w:r>
        <w:rPr>
          <w:rFonts w:hint="eastAsia" w:ascii="宋体" w:hAnsi="宋体"/>
          <w:sz w:val="24"/>
          <w:lang w:val="en-US" w:eastAsia="zh-CN"/>
        </w:rPr>
        <w:t>或投标专用章</w:t>
      </w:r>
      <w:r>
        <w:rPr>
          <w:rFonts w:hint="eastAsia" w:ascii="宋体" w:hAnsi="宋体"/>
          <w:sz w:val="24"/>
        </w:rPr>
        <w:t>）：</w:t>
      </w:r>
    </w:p>
    <w:p w14:paraId="37136BF4">
      <w:pPr>
        <w:spacing w:line="432" w:lineRule="auto"/>
        <w:rPr>
          <w:rFonts w:hint="eastAsia" w:ascii="宋体" w:hAnsi="宋体"/>
          <w:sz w:val="24"/>
        </w:rPr>
      </w:pPr>
      <w:r>
        <w:rPr>
          <w:rFonts w:hint="eastAsia" w:ascii="宋体" w:hAnsi="宋体"/>
          <w:sz w:val="24"/>
          <w:lang w:eastAsia="zh-CN"/>
        </w:rPr>
        <w:t>供应商</w:t>
      </w:r>
      <w:r>
        <w:rPr>
          <w:rFonts w:hint="eastAsia" w:ascii="宋体" w:hAnsi="宋体"/>
          <w:sz w:val="24"/>
        </w:rPr>
        <w:t>代表（签字）：</w:t>
      </w:r>
    </w:p>
    <w:p w14:paraId="718F069D">
      <w:pPr>
        <w:pStyle w:val="13"/>
        <w:ind w:firstLine="4800" w:firstLineChars="2000"/>
        <w:rPr>
          <w:rFonts w:hint="eastAsia" w:ascii="宋体" w:hAnsi="宋体" w:eastAsia="宋体" w:cs="Times New Roman"/>
          <w:b/>
          <w:bCs w:val="0"/>
          <w:kern w:val="0"/>
          <w:sz w:val="28"/>
          <w:szCs w:val="28"/>
          <w:lang w:val="en-US" w:eastAsia="zh-CN" w:bidi="ar-SA"/>
        </w:rPr>
      </w:pPr>
      <w:r>
        <w:rPr>
          <w:rFonts w:hint="eastAsia" w:ascii="宋体" w:hAnsi="宋体"/>
          <w:sz w:val="24"/>
          <w:lang w:val="en-US" w:eastAsia="zh-CN"/>
        </w:rPr>
        <w:t>年   月    日</w:t>
      </w:r>
    </w:p>
    <w:p w14:paraId="6B5F8ACE">
      <w:pPr>
        <w:spacing w:line="432" w:lineRule="auto"/>
        <w:rPr>
          <w:rFonts w:hint="eastAsia" w:ascii="仿宋_GB2312" w:hAnsi="仿宋_GB2312" w:eastAsia="仿宋_GB2312" w:cs="仿宋_GB2312"/>
          <w:color w:val="auto"/>
          <w:sz w:val="24"/>
          <w:highlight w:val="none"/>
          <w:u w:val="single"/>
          <w:lang w:val="en-US" w:eastAsia="zh-CN"/>
        </w:rPr>
      </w:pPr>
    </w:p>
    <w:p w14:paraId="2F74E676">
      <w:pPr>
        <w:numPr>
          <w:ilvl w:val="-1"/>
          <w:numId w:val="0"/>
        </w:numPr>
        <w:bidi w:val="0"/>
        <w:spacing w:line="432" w:lineRule="auto"/>
        <w:rPr>
          <w:rFonts w:hint="default"/>
          <w:highlight w:val="none"/>
          <w:lang w:val="en-US" w:eastAsia="zh-CN"/>
        </w:rPr>
        <w:sectPr>
          <w:footerReference r:id="rId12" w:type="default"/>
          <w:footerReference r:id="rId13" w:type="even"/>
          <w:pgSz w:w="11905" w:h="16838"/>
          <w:pgMar w:top="1417" w:right="1814" w:bottom="1417" w:left="1814" w:header="850" w:footer="992" w:gutter="0"/>
          <w:pgBorders>
            <w:top w:val="none" w:sz="0" w:space="0"/>
            <w:left w:val="none" w:sz="0" w:space="0"/>
            <w:bottom w:val="none" w:sz="0" w:space="0"/>
            <w:right w:val="none" w:sz="0" w:space="0"/>
          </w:pgBorders>
          <w:pgNumType w:fmt="decimal"/>
          <w:cols w:space="0" w:num="1"/>
          <w:rtlGutter w:val="0"/>
          <w:docGrid w:type="linesAndChars" w:linePitch="333" w:charSpace="0"/>
        </w:sectPr>
      </w:pPr>
      <w:r>
        <w:rPr>
          <w:rFonts w:hint="eastAsia" w:ascii="仿宋" w:hAnsi="仿宋" w:cs="仿宋"/>
          <w:color w:val="auto"/>
          <w:sz w:val="24"/>
          <w:highlight w:val="none"/>
          <w:lang w:val="en-US" w:eastAsia="zh-CN"/>
        </w:rPr>
        <w:t xml:space="preserve">                        </w:t>
      </w:r>
    </w:p>
    <w:bookmarkEnd w:id="316"/>
    <w:bookmarkEnd w:id="317"/>
    <w:bookmarkEnd w:id="318"/>
    <w:p w14:paraId="160BD323">
      <w:pPr>
        <w:pStyle w:val="3"/>
        <w:numPr>
          <w:ilvl w:val="0"/>
          <w:numId w:val="0"/>
        </w:numPr>
        <w:ind w:left="0" w:leftChars="0" w:firstLine="0" w:firstLineChars="0"/>
        <w:jc w:val="center"/>
        <w:rPr>
          <w:rFonts w:hint="eastAsia" w:ascii="仿宋_GB2312" w:hAnsi="仿宋_GB2312" w:eastAsia="仿宋_GB2312" w:cs="Times New Roman"/>
          <w:b/>
          <w:bCs/>
          <w:color w:val="auto"/>
          <w:kern w:val="2"/>
          <w:sz w:val="24"/>
          <w:szCs w:val="24"/>
          <w:highlight w:val="none"/>
          <w:lang w:val="en-US" w:eastAsia="zh-CN" w:bidi="ar-SA"/>
        </w:rPr>
      </w:pPr>
      <w:bookmarkStart w:id="329" w:name="_Toc498611434"/>
      <w:bookmarkStart w:id="330" w:name="_Toc12119"/>
      <w:bookmarkStart w:id="331" w:name="_Toc505020170"/>
      <w:bookmarkStart w:id="332" w:name="_Toc22333"/>
      <w:bookmarkStart w:id="333" w:name="_Toc13206"/>
      <w:bookmarkStart w:id="334" w:name="_Toc17926"/>
      <w:bookmarkStart w:id="335" w:name="_Toc23290"/>
      <w:bookmarkStart w:id="336" w:name="_Toc6340"/>
      <w:bookmarkStart w:id="337" w:name="_Toc12178"/>
      <w:bookmarkStart w:id="338" w:name="_Toc19397"/>
      <w:bookmarkStart w:id="339" w:name="_Toc19442"/>
      <w:r>
        <w:rPr>
          <w:rFonts w:hint="eastAsia" w:cs="Times New Roman"/>
          <w:highlight w:val="none"/>
          <w:lang w:val="en-US" w:eastAsia="zh-CN"/>
        </w:rPr>
        <w:t>格式3.</w:t>
      </w:r>
      <w:bookmarkEnd w:id="329"/>
      <w:bookmarkEnd w:id="330"/>
      <w:bookmarkEnd w:id="331"/>
      <w:bookmarkStart w:id="340" w:name="_Toc498611436"/>
      <w:r>
        <w:rPr>
          <w:rFonts w:hint="eastAsia" w:ascii="仿宋_GB2312" w:hAnsi="仿宋_GB2312" w:eastAsia="仿宋_GB2312" w:cs="Times New Roman"/>
          <w:b/>
          <w:bCs/>
          <w:color w:val="auto"/>
          <w:kern w:val="2"/>
          <w:sz w:val="24"/>
          <w:szCs w:val="24"/>
          <w:highlight w:val="none"/>
          <w:lang w:val="en-US" w:eastAsia="zh-CN" w:bidi="ar-SA"/>
        </w:rPr>
        <w:t>偏差表</w:t>
      </w:r>
      <w:bookmarkEnd w:id="332"/>
      <w:bookmarkEnd w:id="333"/>
      <w:bookmarkEnd w:id="334"/>
      <w:bookmarkEnd w:id="335"/>
      <w:bookmarkEnd w:id="336"/>
      <w:bookmarkEnd w:id="337"/>
      <w:bookmarkEnd w:id="338"/>
      <w:bookmarkEnd w:id="339"/>
    </w:p>
    <w:p w14:paraId="275E302A">
      <w:pPr>
        <w:ind w:left="0" w:leftChars="0" w:firstLine="0" w:firstLineChars="0"/>
        <w:rPr>
          <w:rFonts w:hint="eastAsia"/>
          <w:color w:val="auto"/>
          <w:highlight w:val="none"/>
          <w:lang w:val="en-US" w:eastAsia="zh-CN"/>
        </w:rPr>
      </w:pPr>
      <w:r>
        <w:rPr>
          <w:rFonts w:hint="eastAsia" w:ascii="仿宋_GB2312" w:hAnsi="仿宋_GB2312" w:eastAsia="仿宋_GB2312" w:cs="仿宋_GB2312"/>
          <w:color w:val="auto"/>
          <w:sz w:val="24"/>
          <w:highlight w:val="none"/>
        </w:rPr>
        <w:t>项目编号</w:t>
      </w:r>
      <w:r>
        <w:rPr>
          <w:rFonts w:hint="eastAsia" w:cs="仿宋_GB2312"/>
          <w:color w:val="auto"/>
          <w:sz w:val="24"/>
          <w:highlight w:val="none"/>
          <w:lang w:eastAsia="zh-CN"/>
        </w:rPr>
        <w:t>：</w:t>
      </w:r>
      <w:r>
        <w:rPr>
          <w:rFonts w:hint="eastAsia" w:cs="Times New Roman"/>
          <w:color w:val="auto"/>
          <w:highlight w:val="none"/>
          <w:u w:val="single"/>
          <w:lang w:val="en-US" w:eastAsia="zh-CN"/>
        </w:rPr>
        <w:t>JXPXJG-CG-JT-2026-FW-002</w:t>
      </w:r>
    </w:p>
    <w:tbl>
      <w:tblPr>
        <w:tblStyle w:val="40"/>
        <w:tblW w:w="500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83"/>
        <w:gridCol w:w="2863"/>
        <w:gridCol w:w="2999"/>
        <w:gridCol w:w="1551"/>
      </w:tblGrid>
      <w:tr w14:paraId="7CE73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jc w:val="center"/>
        </w:trPr>
        <w:tc>
          <w:tcPr>
            <w:tcW w:w="532" w:type="pct"/>
            <w:noWrap w:val="0"/>
            <w:vAlign w:val="top"/>
          </w:tcPr>
          <w:p w14:paraId="6FC9654D">
            <w:pPr>
              <w:pStyle w:val="39"/>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仿宋_GB2312" w:hAnsi="仿宋_GB2312" w:eastAsia="仿宋_GB2312" w:cs="Times New Roman"/>
                <w:color w:val="auto"/>
                <w:kern w:val="2"/>
                <w:sz w:val="24"/>
                <w:szCs w:val="20"/>
                <w:highlight w:val="none"/>
                <w:lang w:val="en-US" w:eastAsia="zh-CN" w:bidi="ar-SA"/>
              </w:rPr>
            </w:pPr>
            <w:r>
              <w:rPr>
                <w:rFonts w:hint="eastAsia" w:ascii="仿宋_GB2312" w:hAnsi="仿宋_GB2312" w:eastAsia="仿宋_GB2312" w:cs="Times New Roman"/>
                <w:color w:val="auto"/>
                <w:kern w:val="2"/>
                <w:sz w:val="24"/>
                <w:szCs w:val="20"/>
                <w:highlight w:val="none"/>
                <w:lang w:val="en-US" w:eastAsia="zh-CN" w:bidi="ar-SA"/>
              </w:rPr>
              <w:t>序号</w:t>
            </w:r>
          </w:p>
        </w:tc>
        <w:tc>
          <w:tcPr>
            <w:tcW w:w="1725" w:type="pct"/>
            <w:noWrap w:val="0"/>
            <w:vAlign w:val="top"/>
          </w:tcPr>
          <w:p w14:paraId="3A7EF119">
            <w:pPr>
              <w:pStyle w:val="39"/>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仿宋_GB2312" w:hAnsi="仿宋_GB2312" w:eastAsia="仿宋_GB2312" w:cs="Times New Roman"/>
                <w:color w:val="auto"/>
                <w:kern w:val="2"/>
                <w:sz w:val="24"/>
                <w:szCs w:val="20"/>
                <w:highlight w:val="none"/>
                <w:lang w:val="en-US" w:eastAsia="zh-CN" w:bidi="ar-SA"/>
              </w:rPr>
            </w:pPr>
            <w:r>
              <w:rPr>
                <w:rFonts w:hint="eastAsia" w:ascii="仿宋_GB2312" w:hAnsi="仿宋_GB2312" w:eastAsia="仿宋_GB2312" w:cs="Times New Roman"/>
                <w:color w:val="auto"/>
                <w:kern w:val="2"/>
                <w:sz w:val="24"/>
                <w:szCs w:val="20"/>
                <w:highlight w:val="none"/>
                <w:lang w:val="en-US" w:eastAsia="zh-CN" w:bidi="ar-SA"/>
              </w:rPr>
              <w:t>采购文件章节及条款号</w:t>
            </w:r>
          </w:p>
        </w:tc>
        <w:tc>
          <w:tcPr>
            <w:tcW w:w="1807" w:type="pct"/>
            <w:noWrap w:val="0"/>
            <w:vAlign w:val="top"/>
          </w:tcPr>
          <w:p w14:paraId="77C74F33">
            <w:pPr>
              <w:pStyle w:val="39"/>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仿宋_GB2312" w:hAnsi="仿宋_GB2312" w:eastAsia="仿宋_GB2312" w:cs="Times New Roman"/>
                <w:color w:val="auto"/>
                <w:kern w:val="2"/>
                <w:sz w:val="24"/>
                <w:szCs w:val="20"/>
                <w:highlight w:val="none"/>
                <w:lang w:val="en-US" w:eastAsia="zh-CN" w:bidi="ar-SA"/>
              </w:rPr>
            </w:pPr>
            <w:r>
              <w:rPr>
                <w:rFonts w:hint="eastAsia" w:ascii="仿宋_GB2312" w:hAnsi="仿宋_GB2312" w:eastAsia="仿宋_GB2312" w:cs="Times New Roman"/>
                <w:color w:val="auto"/>
                <w:kern w:val="2"/>
                <w:sz w:val="24"/>
                <w:szCs w:val="20"/>
                <w:highlight w:val="none"/>
                <w:lang w:val="en-US" w:eastAsia="zh-CN" w:bidi="ar-SA"/>
              </w:rPr>
              <w:t>响应文件章节及条款号</w:t>
            </w:r>
          </w:p>
        </w:tc>
        <w:tc>
          <w:tcPr>
            <w:tcW w:w="934" w:type="pct"/>
            <w:noWrap w:val="0"/>
            <w:vAlign w:val="top"/>
          </w:tcPr>
          <w:p w14:paraId="26F7B42E">
            <w:pPr>
              <w:pStyle w:val="39"/>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仿宋_GB2312" w:hAnsi="仿宋_GB2312" w:eastAsia="仿宋_GB2312" w:cs="Times New Roman"/>
                <w:color w:val="auto"/>
                <w:kern w:val="2"/>
                <w:sz w:val="24"/>
                <w:szCs w:val="20"/>
                <w:highlight w:val="none"/>
                <w:lang w:val="en-US" w:eastAsia="zh-CN" w:bidi="ar-SA"/>
              </w:rPr>
            </w:pPr>
            <w:r>
              <w:rPr>
                <w:rFonts w:hint="eastAsia" w:ascii="仿宋_GB2312" w:hAnsi="仿宋_GB2312" w:eastAsia="仿宋_GB2312" w:cs="Times New Roman"/>
                <w:color w:val="auto"/>
                <w:kern w:val="2"/>
                <w:sz w:val="24"/>
                <w:szCs w:val="20"/>
                <w:highlight w:val="none"/>
                <w:lang w:val="en-US" w:eastAsia="zh-CN" w:bidi="ar-SA"/>
              </w:rPr>
              <w:t>偏差说明</w:t>
            </w:r>
          </w:p>
        </w:tc>
      </w:tr>
      <w:tr w14:paraId="7CA76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532" w:type="pct"/>
            <w:noWrap w:val="0"/>
            <w:vAlign w:val="top"/>
          </w:tcPr>
          <w:p w14:paraId="482FB1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Times New Roman"/>
                <w:color w:val="auto"/>
                <w:kern w:val="2"/>
                <w:sz w:val="24"/>
                <w:szCs w:val="20"/>
                <w:highlight w:val="none"/>
                <w:lang w:val="en-US" w:eastAsia="zh-CN" w:bidi="ar-SA"/>
              </w:rPr>
            </w:pPr>
            <w:r>
              <w:rPr>
                <w:rFonts w:hint="eastAsia" w:ascii="仿宋_GB2312" w:hAnsi="仿宋_GB2312" w:eastAsia="仿宋_GB2312" w:cs="Times New Roman"/>
                <w:color w:val="auto"/>
                <w:kern w:val="2"/>
                <w:sz w:val="24"/>
                <w:szCs w:val="20"/>
                <w:highlight w:val="none"/>
                <w:lang w:val="en-US" w:eastAsia="zh-CN" w:bidi="ar-SA"/>
              </w:rPr>
              <w:t>1</w:t>
            </w:r>
          </w:p>
        </w:tc>
        <w:tc>
          <w:tcPr>
            <w:tcW w:w="1725" w:type="pct"/>
            <w:noWrap w:val="0"/>
            <w:vAlign w:val="top"/>
          </w:tcPr>
          <w:p w14:paraId="3FC53F9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Times New Roman"/>
                <w:color w:val="auto"/>
                <w:kern w:val="2"/>
                <w:sz w:val="24"/>
                <w:szCs w:val="20"/>
                <w:highlight w:val="none"/>
                <w:lang w:val="en-US" w:eastAsia="zh-CN" w:bidi="ar-SA"/>
              </w:rPr>
            </w:pPr>
          </w:p>
        </w:tc>
        <w:tc>
          <w:tcPr>
            <w:tcW w:w="1807" w:type="pct"/>
            <w:noWrap w:val="0"/>
            <w:vAlign w:val="top"/>
          </w:tcPr>
          <w:p w14:paraId="0CFF8F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Times New Roman"/>
                <w:color w:val="auto"/>
                <w:kern w:val="2"/>
                <w:sz w:val="24"/>
                <w:szCs w:val="20"/>
                <w:highlight w:val="none"/>
                <w:lang w:val="en-US" w:eastAsia="zh-CN" w:bidi="ar-SA"/>
              </w:rPr>
            </w:pPr>
          </w:p>
        </w:tc>
        <w:tc>
          <w:tcPr>
            <w:tcW w:w="934" w:type="pct"/>
            <w:noWrap w:val="0"/>
            <w:vAlign w:val="top"/>
          </w:tcPr>
          <w:p w14:paraId="6A07EC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Times New Roman"/>
                <w:color w:val="auto"/>
                <w:kern w:val="2"/>
                <w:sz w:val="24"/>
                <w:szCs w:val="20"/>
                <w:highlight w:val="none"/>
                <w:lang w:val="en-US" w:eastAsia="zh-CN" w:bidi="ar-SA"/>
              </w:rPr>
            </w:pPr>
          </w:p>
        </w:tc>
      </w:tr>
      <w:tr w14:paraId="67C94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532" w:type="pct"/>
            <w:noWrap w:val="0"/>
            <w:vAlign w:val="top"/>
          </w:tcPr>
          <w:p w14:paraId="238743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Times New Roman"/>
                <w:color w:val="auto"/>
                <w:kern w:val="2"/>
                <w:sz w:val="24"/>
                <w:szCs w:val="20"/>
                <w:highlight w:val="none"/>
                <w:lang w:val="en-US" w:eastAsia="zh-CN" w:bidi="ar-SA"/>
              </w:rPr>
            </w:pPr>
            <w:r>
              <w:rPr>
                <w:rFonts w:hint="eastAsia" w:ascii="仿宋_GB2312" w:hAnsi="仿宋_GB2312" w:eastAsia="仿宋_GB2312" w:cs="Times New Roman"/>
                <w:color w:val="auto"/>
                <w:kern w:val="2"/>
                <w:sz w:val="24"/>
                <w:szCs w:val="20"/>
                <w:highlight w:val="none"/>
                <w:lang w:val="en-US" w:eastAsia="zh-CN" w:bidi="ar-SA"/>
              </w:rPr>
              <w:t>2</w:t>
            </w:r>
          </w:p>
        </w:tc>
        <w:tc>
          <w:tcPr>
            <w:tcW w:w="1725" w:type="pct"/>
            <w:noWrap w:val="0"/>
            <w:vAlign w:val="top"/>
          </w:tcPr>
          <w:p w14:paraId="23EE9E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Times New Roman"/>
                <w:color w:val="auto"/>
                <w:kern w:val="2"/>
                <w:sz w:val="24"/>
                <w:szCs w:val="20"/>
                <w:highlight w:val="none"/>
                <w:lang w:val="en-US" w:eastAsia="zh-CN" w:bidi="ar-SA"/>
              </w:rPr>
            </w:pPr>
          </w:p>
        </w:tc>
        <w:tc>
          <w:tcPr>
            <w:tcW w:w="1807" w:type="pct"/>
            <w:noWrap w:val="0"/>
            <w:vAlign w:val="top"/>
          </w:tcPr>
          <w:p w14:paraId="0EE9BD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Times New Roman"/>
                <w:color w:val="auto"/>
                <w:kern w:val="2"/>
                <w:sz w:val="24"/>
                <w:szCs w:val="20"/>
                <w:highlight w:val="none"/>
                <w:lang w:val="en-US" w:eastAsia="zh-CN" w:bidi="ar-SA"/>
              </w:rPr>
            </w:pPr>
          </w:p>
        </w:tc>
        <w:tc>
          <w:tcPr>
            <w:tcW w:w="934" w:type="pct"/>
            <w:noWrap w:val="0"/>
            <w:vAlign w:val="top"/>
          </w:tcPr>
          <w:p w14:paraId="28AE6D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Times New Roman"/>
                <w:color w:val="auto"/>
                <w:kern w:val="2"/>
                <w:sz w:val="24"/>
                <w:szCs w:val="20"/>
                <w:highlight w:val="none"/>
                <w:lang w:val="en-US" w:eastAsia="zh-CN" w:bidi="ar-SA"/>
              </w:rPr>
            </w:pPr>
          </w:p>
        </w:tc>
      </w:tr>
      <w:tr w14:paraId="0B9EF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532" w:type="pct"/>
            <w:noWrap w:val="0"/>
            <w:vAlign w:val="top"/>
          </w:tcPr>
          <w:p w14:paraId="49978A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Times New Roman"/>
                <w:color w:val="auto"/>
                <w:kern w:val="2"/>
                <w:sz w:val="24"/>
                <w:szCs w:val="20"/>
                <w:highlight w:val="none"/>
                <w:lang w:val="en-US" w:eastAsia="zh-CN" w:bidi="ar-SA"/>
              </w:rPr>
            </w:pPr>
            <w:r>
              <w:rPr>
                <w:rFonts w:hint="eastAsia" w:ascii="仿宋_GB2312" w:hAnsi="仿宋_GB2312" w:eastAsia="仿宋_GB2312" w:cs="Times New Roman"/>
                <w:color w:val="auto"/>
                <w:kern w:val="2"/>
                <w:sz w:val="24"/>
                <w:szCs w:val="20"/>
                <w:highlight w:val="none"/>
                <w:lang w:val="en-US" w:eastAsia="zh-CN" w:bidi="ar-SA"/>
              </w:rPr>
              <w:t>3</w:t>
            </w:r>
          </w:p>
        </w:tc>
        <w:tc>
          <w:tcPr>
            <w:tcW w:w="1725" w:type="pct"/>
            <w:noWrap w:val="0"/>
            <w:vAlign w:val="top"/>
          </w:tcPr>
          <w:p w14:paraId="551E68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Times New Roman"/>
                <w:color w:val="auto"/>
                <w:kern w:val="2"/>
                <w:sz w:val="24"/>
                <w:szCs w:val="20"/>
                <w:highlight w:val="none"/>
                <w:lang w:val="en-US" w:eastAsia="zh-CN" w:bidi="ar-SA"/>
              </w:rPr>
            </w:pPr>
          </w:p>
        </w:tc>
        <w:tc>
          <w:tcPr>
            <w:tcW w:w="1807" w:type="pct"/>
            <w:noWrap w:val="0"/>
            <w:vAlign w:val="top"/>
          </w:tcPr>
          <w:p w14:paraId="45C49D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Times New Roman"/>
                <w:color w:val="auto"/>
                <w:kern w:val="2"/>
                <w:sz w:val="24"/>
                <w:szCs w:val="20"/>
                <w:highlight w:val="none"/>
                <w:lang w:val="en-US" w:eastAsia="zh-CN" w:bidi="ar-SA"/>
              </w:rPr>
            </w:pPr>
          </w:p>
        </w:tc>
        <w:tc>
          <w:tcPr>
            <w:tcW w:w="934" w:type="pct"/>
            <w:noWrap w:val="0"/>
            <w:vAlign w:val="top"/>
          </w:tcPr>
          <w:p w14:paraId="745DF8D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Times New Roman"/>
                <w:color w:val="auto"/>
                <w:kern w:val="2"/>
                <w:sz w:val="24"/>
                <w:szCs w:val="20"/>
                <w:highlight w:val="none"/>
                <w:lang w:val="en-US" w:eastAsia="zh-CN" w:bidi="ar-SA"/>
              </w:rPr>
            </w:pPr>
          </w:p>
        </w:tc>
      </w:tr>
      <w:tr w14:paraId="2011E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532" w:type="pct"/>
            <w:noWrap w:val="0"/>
            <w:vAlign w:val="top"/>
          </w:tcPr>
          <w:p w14:paraId="5DE9DC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Times New Roman"/>
                <w:color w:val="auto"/>
                <w:kern w:val="2"/>
                <w:sz w:val="24"/>
                <w:szCs w:val="20"/>
                <w:highlight w:val="none"/>
                <w:lang w:val="en-US" w:eastAsia="zh-CN" w:bidi="ar-SA"/>
              </w:rPr>
            </w:pPr>
            <w:r>
              <w:rPr>
                <w:rFonts w:hint="eastAsia" w:ascii="仿宋_GB2312" w:hAnsi="仿宋_GB2312" w:eastAsia="仿宋_GB2312" w:cs="Times New Roman"/>
                <w:color w:val="auto"/>
                <w:kern w:val="2"/>
                <w:sz w:val="24"/>
                <w:szCs w:val="20"/>
                <w:highlight w:val="none"/>
                <w:lang w:val="en-US" w:eastAsia="zh-CN" w:bidi="ar-SA"/>
              </w:rPr>
              <w:t>4</w:t>
            </w:r>
          </w:p>
        </w:tc>
        <w:tc>
          <w:tcPr>
            <w:tcW w:w="1725" w:type="pct"/>
            <w:noWrap w:val="0"/>
            <w:vAlign w:val="top"/>
          </w:tcPr>
          <w:p w14:paraId="7347C2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Times New Roman"/>
                <w:color w:val="auto"/>
                <w:kern w:val="2"/>
                <w:sz w:val="24"/>
                <w:szCs w:val="20"/>
                <w:highlight w:val="none"/>
                <w:lang w:val="en-US" w:eastAsia="zh-CN" w:bidi="ar-SA"/>
              </w:rPr>
            </w:pPr>
          </w:p>
        </w:tc>
        <w:tc>
          <w:tcPr>
            <w:tcW w:w="1807" w:type="pct"/>
            <w:noWrap w:val="0"/>
            <w:vAlign w:val="top"/>
          </w:tcPr>
          <w:p w14:paraId="18CE40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Times New Roman"/>
                <w:color w:val="auto"/>
                <w:kern w:val="2"/>
                <w:sz w:val="24"/>
                <w:szCs w:val="20"/>
                <w:highlight w:val="none"/>
                <w:lang w:val="en-US" w:eastAsia="zh-CN" w:bidi="ar-SA"/>
              </w:rPr>
            </w:pPr>
          </w:p>
        </w:tc>
        <w:tc>
          <w:tcPr>
            <w:tcW w:w="934" w:type="pct"/>
            <w:noWrap w:val="0"/>
            <w:vAlign w:val="top"/>
          </w:tcPr>
          <w:p w14:paraId="047E73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Times New Roman"/>
                <w:color w:val="auto"/>
                <w:kern w:val="2"/>
                <w:sz w:val="24"/>
                <w:szCs w:val="20"/>
                <w:highlight w:val="none"/>
                <w:lang w:val="en-US" w:eastAsia="zh-CN" w:bidi="ar-SA"/>
              </w:rPr>
            </w:pPr>
          </w:p>
        </w:tc>
      </w:tr>
      <w:tr w14:paraId="2E642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532" w:type="pct"/>
            <w:noWrap w:val="0"/>
            <w:vAlign w:val="top"/>
          </w:tcPr>
          <w:p w14:paraId="2836A0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Times New Roman"/>
                <w:color w:val="auto"/>
                <w:kern w:val="2"/>
                <w:sz w:val="24"/>
                <w:szCs w:val="20"/>
                <w:highlight w:val="none"/>
                <w:lang w:val="en-US" w:eastAsia="zh-CN" w:bidi="ar-SA"/>
              </w:rPr>
            </w:pPr>
            <w:r>
              <w:rPr>
                <w:rFonts w:hint="eastAsia" w:ascii="仿宋_GB2312" w:hAnsi="仿宋_GB2312" w:eastAsia="仿宋_GB2312" w:cs="Times New Roman"/>
                <w:color w:val="auto"/>
                <w:kern w:val="2"/>
                <w:sz w:val="24"/>
                <w:szCs w:val="20"/>
                <w:highlight w:val="none"/>
                <w:lang w:val="en-US" w:eastAsia="zh-CN" w:bidi="ar-SA"/>
              </w:rPr>
              <w:t>5</w:t>
            </w:r>
          </w:p>
        </w:tc>
        <w:tc>
          <w:tcPr>
            <w:tcW w:w="1725" w:type="pct"/>
            <w:noWrap w:val="0"/>
            <w:vAlign w:val="top"/>
          </w:tcPr>
          <w:p w14:paraId="08B60E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Times New Roman"/>
                <w:color w:val="auto"/>
                <w:kern w:val="2"/>
                <w:sz w:val="24"/>
                <w:szCs w:val="20"/>
                <w:highlight w:val="none"/>
                <w:lang w:val="en-US" w:eastAsia="zh-CN" w:bidi="ar-SA"/>
              </w:rPr>
            </w:pPr>
          </w:p>
        </w:tc>
        <w:tc>
          <w:tcPr>
            <w:tcW w:w="1807" w:type="pct"/>
            <w:noWrap w:val="0"/>
            <w:vAlign w:val="top"/>
          </w:tcPr>
          <w:p w14:paraId="1E40B6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Times New Roman"/>
                <w:color w:val="auto"/>
                <w:kern w:val="2"/>
                <w:sz w:val="24"/>
                <w:szCs w:val="20"/>
                <w:highlight w:val="none"/>
                <w:lang w:val="en-US" w:eastAsia="zh-CN" w:bidi="ar-SA"/>
              </w:rPr>
            </w:pPr>
          </w:p>
        </w:tc>
        <w:tc>
          <w:tcPr>
            <w:tcW w:w="934" w:type="pct"/>
            <w:noWrap w:val="0"/>
            <w:vAlign w:val="top"/>
          </w:tcPr>
          <w:p w14:paraId="7E1066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Times New Roman"/>
                <w:color w:val="auto"/>
                <w:kern w:val="2"/>
                <w:sz w:val="24"/>
                <w:szCs w:val="20"/>
                <w:highlight w:val="none"/>
                <w:lang w:val="en-US" w:eastAsia="zh-CN" w:bidi="ar-SA"/>
              </w:rPr>
            </w:pPr>
          </w:p>
        </w:tc>
      </w:tr>
      <w:tr w14:paraId="5E9B4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jc w:val="center"/>
        </w:trPr>
        <w:tc>
          <w:tcPr>
            <w:tcW w:w="532" w:type="pct"/>
            <w:noWrap w:val="0"/>
            <w:vAlign w:val="top"/>
          </w:tcPr>
          <w:p w14:paraId="292EEAB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Times New Roman"/>
                <w:color w:val="auto"/>
                <w:kern w:val="2"/>
                <w:sz w:val="24"/>
                <w:szCs w:val="20"/>
                <w:highlight w:val="none"/>
                <w:lang w:val="en-US" w:eastAsia="zh-CN" w:bidi="ar-SA"/>
              </w:rPr>
            </w:pPr>
            <w:r>
              <w:rPr>
                <w:rFonts w:hint="eastAsia" w:ascii="仿宋_GB2312" w:hAnsi="仿宋_GB2312" w:eastAsia="仿宋_GB2312" w:cs="Times New Roman"/>
                <w:color w:val="auto"/>
                <w:kern w:val="2"/>
                <w:sz w:val="24"/>
                <w:szCs w:val="20"/>
                <w:highlight w:val="none"/>
                <w:lang w:val="en-US" w:eastAsia="zh-CN" w:bidi="ar-SA"/>
              </w:rPr>
              <w:t>……</w:t>
            </w:r>
          </w:p>
        </w:tc>
        <w:tc>
          <w:tcPr>
            <w:tcW w:w="1725" w:type="pct"/>
            <w:noWrap w:val="0"/>
            <w:vAlign w:val="top"/>
          </w:tcPr>
          <w:p w14:paraId="185F6DE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Times New Roman"/>
                <w:color w:val="auto"/>
                <w:kern w:val="2"/>
                <w:sz w:val="24"/>
                <w:szCs w:val="20"/>
                <w:highlight w:val="none"/>
                <w:lang w:val="en-US" w:eastAsia="zh-CN" w:bidi="ar-SA"/>
              </w:rPr>
            </w:pPr>
          </w:p>
        </w:tc>
        <w:tc>
          <w:tcPr>
            <w:tcW w:w="1807" w:type="pct"/>
            <w:noWrap w:val="0"/>
            <w:vAlign w:val="top"/>
          </w:tcPr>
          <w:p w14:paraId="78209FF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Times New Roman"/>
                <w:color w:val="auto"/>
                <w:kern w:val="2"/>
                <w:sz w:val="24"/>
                <w:szCs w:val="20"/>
                <w:highlight w:val="none"/>
                <w:lang w:val="en-US" w:eastAsia="zh-CN" w:bidi="ar-SA"/>
              </w:rPr>
            </w:pPr>
          </w:p>
        </w:tc>
        <w:tc>
          <w:tcPr>
            <w:tcW w:w="934" w:type="pct"/>
            <w:noWrap w:val="0"/>
            <w:vAlign w:val="top"/>
          </w:tcPr>
          <w:p w14:paraId="59FFD69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Times New Roman"/>
                <w:color w:val="auto"/>
                <w:kern w:val="2"/>
                <w:sz w:val="24"/>
                <w:szCs w:val="20"/>
                <w:highlight w:val="none"/>
                <w:lang w:val="en-US" w:eastAsia="zh-CN" w:bidi="ar-SA"/>
              </w:rPr>
            </w:pPr>
          </w:p>
        </w:tc>
      </w:tr>
    </w:tbl>
    <w:p w14:paraId="2CE41571">
      <w:pPr>
        <w:bidi w:val="0"/>
        <w:rPr>
          <w:rFonts w:hint="eastAsia" w:cs="Times New Roman"/>
          <w:color w:val="auto"/>
          <w:highlight w:val="none"/>
        </w:rPr>
      </w:pPr>
      <w:r>
        <w:rPr>
          <w:rFonts w:hint="eastAsia" w:cs="Times New Roman"/>
          <w:color w:val="auto"/>
          <w:highlight w:val="none"/>
        </w:rPr>
        <w:t>供应商保证：除偏差表列出的偏差外，供应商响应</w:t>
      </w:r>
      <w:r>
        <w:rPr>
          <w:rFonts w:hint="eastAsia" w:cs="Times New Roman"/>
          <w:color w:val="auto"/>
          <w:highlight w:val="none"/>
          <w:lang w:val="en-US" w:eastAsia="zh-CN"/>
        </w:rPr>
        <w:t>采购文件</w:t>
      </w:r>
      <w:r>
        <w:rPr>
          <w:rFonts w:hint="eastAsia" w:cs="Times New Roman"/>
          <w:color w:val="auto"/>
          <w:highlight w:val="none"/>
        </w:rPr>
        <w:t>的全部要求。</w:t>
      </w:r>
    </w:p>
    <w:p w14:paraId="2A340DB9">
      <w:pPr>
        <w:bidi w:val="0"/>
        <w:rPr>
          <w:rFonts w:hint="eastAsia" w:cs="Times New Roman"/>
          <w:color w:val="auto"/>
          <w:highlight w:val="none"/>
          <w:lang w:val="en-US" w:eastAsia="zh-CN"/>
        </w:rPr>
      </w:pPr>
      <w:r>
        <w:rPr>
          <w:rFonts w:hint="eastAsia" w:cs="Times New Roman"/>
          <w:color w:val="auto"/>
          <w:highlight w:val="none"/>
        </w:rPr>
        <w:t>注：对 “实质性要求”存在负偏离的，</w:t>
      </w:r>
      <w:r>
        <w:rPr>
          <w:rFonts w:hint="eastAsia" w:cs="Times New Roman"/>
          <w:color w:val="auto"/>
          <w:highlight w:val="none"/>
          <w:lang w:val="en-US" w:eastAsia="zh-CN"/>
        </w:rPr>
        <w:t>响应</w:t>
      </w:r>
      <w:r>
        <w:rPr>
          <w:rFonts w:hint="eastAsia" w:cs="Times New Roman"/>
          <w:color w:val="auto"/>
          <w:highlight w:val="none"/>
        </w:rPr>
        <w:t>文件将被视为未实质性响应，作无效</w:t>
      </w:r>
      <w:r>
        <w:rPr>
          <w:rFonts w:hint="eastAsia" w:cs="Times New Roman"/>
          <w:color w:val="auto"/>
          <w:highlight w:val="none"/>
          <w:lang w:val="en-US" w:eastAsia="zh-CN"/>
        </w:rPr>
        <w:t>响应</w:t>
      </w:r>
      <w:r>
        <w:rPr>
          <w:rFonts w:hint="eastAsia" w:cs="Times New Roman"/>
          <w:color w:val="auto"/>
          <w:highlight w:val="none"/>
        </w:rPr>
        <w:t>处理</w:t>
      </w:r>
      <w:r>
        <w:rPr>
          <w:rFonts w:hint="eastAsia" w:cs="Times New Roman"/>
          <w:color w:val="auto"/>
          <w:highlight w:val="none"/>
          <w:lang w:eastAsia="zh-CN"/>
        </w:rPr>
        <w:t>；</w:t>
      </w:r>
    </w:p>
    <w:p w14:paraId="6BD5B2C2">
      <w:pPr>
        <w:spacing w:line="432" w:lineRule="auto"/>
        <w:rPr>
          <w:rFonts w:hint="eastAsia" w:ascii="仿宋_GB2312" w:hAnsi="仿宋_GB2312" w:eastAsia="仿宋_GB2312" w:cs="仿宋_GB2312"/>
          <w:color w:val="auto"/>
          <w:sz w:val="24"/>
          <w:highlight w:val="none"/>
          <w:u w:val="single"/>
          <w:lang w:val="en-US" w:eastAsia="zh-CN"/>
        </w:rPr>
      </w:pPr>
    </w:p>
    <w:p w14:paraId="1E0AF30C">
      <w:pPr>
        <w:bidi w:val="0"/>
        <w:ind w:firstLine="960" w:firstLineChars="400"/>
        <w:jc w:val="both"/>
        <w:rPr>
          <w:rFonts w:hint="eastAsia" w:ascii="Times New Roman" w:hAnsi="Times New Roman" w:cs="Times New Roman"/>
          <w:color w:val="auto"/>
          <w:highlight w:val="none"/>
          <w:u w:val="single"/>
          <w:lang w:val="en-US" w:eastAsia="zh-CN"/>
        </w:rPr>
      </w:pPr>
      <w:r>
        <w:rPr>
          <w:rFonts w:hint="eastAsia" w:ascii="仿宋_GB2312" w:hAnsi="仿宋_GB2312" w:eastAsia="仿宋_GB2312" w:cs="仿宋_GB2312"/>
          <w:color w:val="auto"/>
          <w:sz w:val="24"/>
          <w:highlight w:val="none"/>
        </w:rPr>
        <w:t>供应商：</w:t>
      </w:r>
      <w:r>
        <w:rPr>
          <w:rFonts w:hint="eastAsia" w:ascii="仿宋_GB2312" w:hAnsi="仿宋_GB2312" w:eastAsia="仿宋_GB2312" w:cs="仿宋_GB2312"/>
          <w:color w:val="auto"/>
          <w:sz w:val="24"/>
          <w:highlight w:val="none"/>
          <w:u w:val="single"/>
          <w:lang w:val="en-US" w:eastAsia="zh-CN"/>
        </w:rPr>
        <w:t xml:space="preserve">    </w:t>
      </w:r>
      <w:r>
        <w:rPr>
          <w:rFonts w:hint="eastAsia" w:ascii="Times New Roman" w:hAnsi="Times New Roman" w:cs="Times New Roman"/>
          <w:color w:val="auto"/>
          <w:highlight w:val="none"/>
          <w:u w:val="single"/>
          <w:lang w:val="en-US" w:eastAsia="zh-CN"/>
        </w:rPr>
        <w:t>（公章或投标专用章）</w:t>
      </w:r>
    </w:p>
    <w:p w14:paraId="1E7AB050">
      <w:pPr>
        <w:spacing w:line="432" w:lineRule="auto"/>
        <w:rPr>
          <w:rFonts w:hint="eastAsia" w:ascii="仿宋_GB2312" w:hAnsi="仿宋_GB2312" w:eastAsia="仿宋_GB2312" w:cs="仿宋_GB2312"/>
          <w:color w:val="auto"/>
          <w:sz w:val="24"/>
          <w:highlight w:val="none"/>
          <w:u w:val="single"/>
          <w:lang w:val="en-US" w:eastAsia="zh-CN"/>
        </w:rPr>
      </w:pPr>
      <w:r>
        <w:rPr>
          <w:rFonts w:hint="eastAsia" w:ascii="仿宋_GB2312" w:hAnsi="仿宋_GB2312" w:eastAsia="仿宋_GB2312" w:cs="仿宋_GB2312"/>
          <w:color w:val="auto"/>
          <w:sz w:val="24"/>
          <w:highlight w:val="none"/>
          <w:u w:val="single"/>
          <w:lang w:val="en-US" w:eastAsia="zh-CN"/>
        </w:rPr>
        <w:t xml:space="preserve"> </w:t>
      </w:r>
    </w:p>
    <w:p w14:paraId="53202CEE">
      <w:pPr>
        <w:spacing w:line="432" w:lineRule="auto"/>
        <w:rPr>
          <w:rFonts w:ascii="仿宋" w:hAnsi="仿宋" w:eastAsia="仿宋" w:cs="仿宋"/>
          <w:color w:val="auto"/>
          <w:sz w:val="24"/>
          <w:highlight w:val="none"/>
          <w:u w:val="single"/>
        </w:rPr>
      </w:pPr>
    </w:p>
    <w:p w14:paraId="1FF976CA">
      <w:pPr>
        <w:numPr>
          <w:ilvl w:val="0"/>
          <w:numId w:val="0"/>
        </w:numPr>
        <w:bidi w:val="0"/>
        <w:ind w:leftChars="200"/>
        <w:rPr>
          <w:rFonts w:hint="eastAsia"/>
          <w:highlight w:val="none"/>
        </w:rPr>
      </w:pPr>
      <w:bookmarkStart w:id="341" w:name="_Toc505020172"/>
    </w:p>
    <w:p w14:paraId="4306D9A9">
      <w:pPr>
        <w:pStyle w:val="3"/>
        <w:numPr>
          <w:ilvl w:val="0"/>
          <w:numId w:val="0"/>
        </w:numPr>
        <w:bidi w:val="0"/>
        <w:jc w:val="center"/>
        <w:rPr>
          <w:rFonts w:ascii="仿宋" w:hAnsi="仿宋" w:eastAsia="仿宋" w:cs="仿宋"/>
          <w:b/>
          <w:color w:val="auto"/>
          <w:sz w:val="24"/>
          <w:szCs w:val="24"/>
          <w:highlight w:val="none"/>
        </w:rPr>
      </w:pPr>
      <w:r>
        <w:rPr>
          <w:rFonts w:hint="eastAsia" w:ascii="仿宋" w:hAnsi="仿宋" w:eastAsia="仿宋" w:cs="仿宋"/>
          <w:color w:val="auto"/>
          <w:sz w:val="30"/>
          <w:szCs w:val="30"/>
          <w:highlight w:val="none"/>
        </w:rPr>
        <w:br w:type="page"/>
      </w:r>
      <w:bookmarkStart w:id="342" w:name="_Toc14970"/>
      <w:bookmarkStart w:id="343" w:name="_Toc4849"/>
      <w:bookmarkStart w:id="344" w:name="_Toc32583"/>
      <w:bookmarkStart w:id="345" w:name="_Toc12838"/>
      <w:bookmarkStart w:id="346" w:name="_Toc11935"/>
      <w:bookmarkStart w:id="347" w:name="_Toc22386"/>
      <w:bookmarkStart w:id="348" w:name="_Toc22430"/>
      <w:bookmarkStart w:id="349" w:name="_Toc20271"/>
      <w:bookmarkStart w:id="350" w:name="_Toc2062"/>
      <w:r>
        <w:rPr>
          <w:rFonts w:hint="eastAsia" w:cs="Times New Roman"/>
          <w:highlight w:val="none"/>
          <w:lang w:val="en-US" w:eastAsia="zh-CN"/>
        </w:rPr>
        <w:t>格式4.供应商情况一览表</w:t>
      </w:r>
      <w:bookmarkEnd w:id="342"/>
      <w:bookmarkEnd w:id="343"/>
      <w:bookmarkEnd w:id="344"/>
      <w:bookmarkEnd w:id="345"/>
      <w:bookmarkEnd w:id="346"/>
      <w:bookmarkEnd w:id="347"/>
      <w:bookmarkEnd w:id="348"/>
      <w:bookmarkEnd w:id="349"/>
      <w:bookmarkEnd w:id="350"/>
    </w:p>
    <w:bookmarkEnd w:id="340"/>
    <w:bookmarkEnd w:id="341"/>
    <w:tbl>
      <w:tblPr>
        <w:tblStyle w:val="25"/>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951"/>
        <w:gridCol w:w="904"/>
        <w:gridCol w:w="1481"/>
        <w:gridCol w:w="1046"/>
        <w:gridCol w:w="1184"/>
        <w:gridCol w:w="764"/>
        <w:gridCol w:w="1160"/>
      </w:tblGrid>
      <w:tr w14:paraId="3D661D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49" w:type="pct"/>
            <w:noWrap w:val="0"/>
            <w:vAlign w:val="center"/>
          </w:tcPr>
          <w:p w14:paraId="1F291135">
            <w:pPr>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供应商名称</w:t>
            </w:r>
          </w:p>
        </w:tc>
        <w:tc>
          <w:tcPr>
            <w:tcW w:w="3850" w:type="pct"/>
            <w:gridSpan w:val="6"/>
            <w:noWrap w:val="0"/>
            <w:vAlign w:val="center"/>
          </w:tcPr>
          <w:p w14:paraId="1FC74BD2">
            <w:pPr>
              <w:ind w:left="0" w:leftChars="0" w:firstLine="0" w:firstLineChars="0"/>
              <w:jc w:val="center"/>
              <w:rPr>
                <w:rFonts w:hint="eastAsia" w:ascii="仿宋_GB2312" w:hAnsi="仿宋_GB2312" w:eastAsia="仿宋_GB2312" w:cs="仿宋_GB2312"/>
                <w:color w:val="auto"/>
                <w:sz w:val="24"/>
                <w:highlight w:val="none"/>
              </w:rPr>
            </w:pPr>
          </w:p>
        </w:tc>
      </w:tr>
      <w:tr w14:paraId="2641B8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49" w:type="pct"/>
            <w:noWrap w:val="0"/>
            <w:vAlign w:val="center"/>
          </w:tcPr>
          <w:p w14:paraId="0BEEC106">
            <w:pPr>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注册地址</w:t>
            </w:r>
          </w:p>
        </w:tc>
        <w:tc>
          <w:tcPr>
            <w:tcW w:w="2020" w:type="pct"/>
            <w:gridSpan w:val="3"/>
            <w:noWrap w:val="0"/>
            <w:vAlign w:val="center"/>
          </w:tcPr>
          <w:p w14:paraId="6F6A9C13">
            <w:pPr>
              <w:ind w:left="0" w:leftChars="0" w:firstLine="0" w:firstLineChars="0"/>
              <w:jc w:val="center"/>
              <w:rPr>
                <w:rFonts w:hint="eastAsia" w:ascii="仿宋_GB2312" w:hAnsi="仿宋_GB2312" w:eastAsia="仿宋_GB2312" w:cs="仿宋_GB2312"/>
                <w:color w:val="auto"/>
                <w:sz w:val="24"/>
                <w:highlight w:val="none"/>
              </w:rPr>
            </w:pPr>
          </w:p>
        </w:tc>
        <w:tc>
          <w:tcPr>
            <w:tcW w:w="697" w:type="pct"/>
            <w:noWrap w:val="0"/>
            <w:vAlign w:val="center"/>
          </w:tcPr>
          <w:p w14:paraId="32CA1607">
            <w:pPr>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邮政编码</w:t>
            </w:r>
          </w:p>
        </w:tc>
        <w:tc>
          <w:tcPr>
            <w:tcW w:w="1131" w:type="pct"/>
            <w:gridSpan w:val="2"/>
            <w:noWrap w:val="0"/>
            <w:vAlign w:val="center"/>
          </w:tcPr>
          <w:p w14:paraId="233C6A06">
            <w:pPr>
              <w:ind w:left="0" w:leftChars="0" w:firstLine="0" w:firstLineChars="0"/>
              <w:jc w:val="center"/>
              <w:rPr>
                <w:rFonts w:hint="eastAsia" w:ascii="仿宋_GB2312" w:hAnsi="仿宋_GB2312" w:eastAsia="仿宋_GB2312" w:cs="仿宋_GB2312"/>
                <w:color w:val="auto"/>
                <w:sz w:val="24"/>
                <w:highlight w:val="none"/>
              </w:rPr>
            </w:pPr>
          </w:p>
        </w:tc>
      </w:tr>
      <w:tr w14:paraId="77711D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49" w:type="pct"/>
            <w:vMerge w:val="restart"/>
            <w:noWrap w:val="0"/>
            <w:vAlign w:val="center"/>
          </w:tcPr>
          <w:p w14:paraId="0E05C5F9">
            <w:pPr>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联系方式</w:t>
            </w:r>
          </w:p>
        </w:tc>
        <w:tc>
          <w:tcPr>
            <w:tcW w:w="532" w:type="pct"/>
            <w:noWrap w:val="0"/>
            <w:vAlign w:val="center"/>
          </w:tcPr>
          <w:p w14:paraId="559278F7">
            <w:pPr>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联系人</w:t>
            </w:r>
          </w:p>
        </w:tc>
        <w:tc>
          <w:tcPr>
            <w:tcW w:w="1488" w:type="pct"/>
            <w:gridSpan w:val="2"/>
            <w:noWrap w:val="0"/>
            <w:vAlign w:val="center"/>
          </w:tcPr>
          <w:p w14:paraId="2AE7AAC5">
            <w:pPr>
              <w:ind w:left="0" w:leftChars="0" w:firstLine="0" w:firstLineChars="0"/>
              <w:jc w:val="center"/>
              <w:rPr>
                <w:rFonts w:hint="eastAsia" w:ascii="仿宋_GB2312" w:hAnsi="仿宋_GB2312" w:eastAsia="仿宋_GB2312" w:cs="仿宋_GB2312"/>
                <w:color w:val="auto"/>
                <w:sz w:val="24"/>
                <w:highlight w:val="none"/>
              </w:rPr>
            </w:pPr>
          </w:p>
        </w:tc>
        <w:tc>
          <w:tcPr>
            <w:tcW w:w="697" w:type="pct"/>
            <w:noWrap w:val="0"/>
            <w:vAlign w:val="center"/>
          </w:tcPr>
          <w:p w14:paraId="1FA0C7FF">
            <w:pPr>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联系电话</w:t>
            </w:r>
          </w:p>
        </w:tc>
        <w:tc>
          <w:tcPr>
            <w:tcW w:w="1131" w:type="pct"/>
            <w:gridSpan w:val="2"/>
            <w:noWrap w:val="0"/>
            <w:vAlign w:val="center"/>
          </w:tcPr>
          <w:p w14:paraId="13EBDC45">
            <w:pPr>
              <w:ind w:left="0" w:leftChars="0" w:firstLine="0" w:firstLineChars="0"/>
              <w:jc w:val="center"/>
              <w:rPr>
                <w:rFonts w:hint="eastAsia" w:ascii="仿宋_GB2312" w:hAnsi="仿宋_GB2312" w:eastAsia="仿宋_GB2312" w:cs="仿宋_GB2312"/>
                <w:color w:val="auto"/>
                <w:sz w:val="24"/>
                <w:highlight w:val="none"/>
              </w:rPr>
            </w:pPr>
          </w:p>
        </w:tc>
      </w:tr>
      <w:tr w14:paraId="64A6EA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49" w:type="pct"/>
            <w:vMerge w:val="continue"/>
            <w:noWrap w:val="0"/>
            <w:vAlign w:val="center"/>
          </w:tcPr>
          <w:p w14:paraId="44E5B1C0">
            <w:pPr>
              <w:ind w:left="0" w:leftChars="0" w:firstLine="0" w:firstLineChars="0"/>
              <w:jc w:val="center"/>
              <w:rPr>
                <w:rFonts w:hint="eastAsia" w:ascii="仿宋_GB2312" w:hAnsi="仿宋_GB2312" w:eastAsia="仿宋_GB2312" w:cs="仿宋_GB2312"/>
                <w:color w:val="auto"/>
                <w:sz w:val="24"/>
                <w:highlight w:val="none"/>
              </w:rPr>
            </w:pPr>
          </w:p>
        </w:tc>
        <w:tc>
          <w:tcPr>
            <w:tcW w:w="532" w:type="pct"/>
            <w:noWrap w:val="0"/>
            <w:vAlign w:val="center"/>
          </w:tcPr>
          <w:p w14:paraId="5CE7486D">
            <w:pPr>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传  真</w:t>
            </w:r>
          </w:p>
        </w:tc>
        <w:tc>
          <w:tcPr>
            <w:tcW w:w="1488" w:type="pct"/>
            <w:gridSpan w:val="2"/>
            <w:noWrap w:val="0"/>
            <w:vAlign w:val="center"/>
          </w:tcPr>
          <w:p w14:paraId="317A6793">
            <w:pPr>
              <w:ind w:left="0" w:leftChars="0" w:firstLine="0" w:firstLineChars="0"/>
              <w:jc w:val="center"/>
              <w:rPr>
                <w:rFonts w:hint="eastAsia" w:ascii="仿宋_GB2312" w:hAnsi="仿宋_GB2312" w:eastAsia="仿宋_GB2312" w:cs="仿宋_GB2312"/>
                <w:color w:val="auto"/>
                <w:sz w:val="24"/>
                <w:highlight w:val="none"/>
              </w:rPr>
            </w:pPr>
          </w:p>
        </w:tc>
        <w:tc>
          <w:tcPr>
            <w:tcW w:w="697" w:type="pct"/>
            <w:noWrap w:val="0"/>
            <w:vAlign w:val="center"/>
          </w:tcPr>
          <w:p w14:paraId="640F7530">
            <w:pPr>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网址/邮箱</w:t>
            </w:r>
          </w:p>
        </w:tc>
        <w:tc>
          <w:tcPr>
            <w:tcW w:w="1131" w:type="pct"/>
            <w:gridSpan w:val="2"/>
            <w:noWrap w:val="0"/>
            <w:vAlign w:val="center"/>
          </w:tcPr>
          <w:p w14:paraId="047AEE72">
            <w:pPr>
              <w:ind w:left="0" w:leftChars="0" w:firstLine="0" w:firstLineChars="0"/>
              <w:jc w:val="center"/>
              <w:rPr>
                <w:rFonts w:hint="eastAsia" w:ascii="仿宋_GB2312" w:hAnsi="仿宋_GB2312" w:eastAsia="仿宋_GB2312" w:cs="仿宋_GB2312"/>
                <w:color w:val="auto"/>
                <w:sz w:val="24"/>
                <w:highlight w:val="none"/>
              </w:rPr>
            </w:pPr>
          </w:p>
        </w:tc>
      </w:tr>
      <w:tr w14:paraId="4F0A4C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49" w:type="pct"/>
            <w:noWrap w:val="0"/>
            <w:vAlign w:val="center"/>
          </w:tcPr>
          <w:p w14:paraId="7DC114A2">
            <w:pPr>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企业性质</w:t>
            </w:r>
          </w:p>
        </w:tc>
        <w:tc>
          <w:tcPr>
            <w:tcW w:w="3850" w:type="pct"/>
            <w:gridSpan w:val="6"/>
            <w:noWrap w:val="0"/>
            <w:vAlign w:val="center"/>
          </w:tcPr>
          <w:p w14:paraId="7571D9E0">
            <w:pPr>
              <w:ind w:left="0" w:leftChars="0" w:firstLine="0" w:firstLineChars="0"/>
              <w:jc w:val="center"/>
              <w:rPr>
                <w:rFonts w:hint="eastAsia" w:ascii="仿宋_GB2312" w:hAnsi="仿宋_GB2312" w:eastAsia="仿宋_GB2312" w:cs="仿宋_GB2312"/>
                <w:color w:val="auto"/>
                <w:sz w:val="24"/>
                <w:highlight w:val="none"/>
              </w:rPr>
            </w:pPr>
          </w:p>
        </w:tc>
      </w:tr>
      <w:tr w14:paraId="6304FD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49" w:type="pct"/>
            <w:noWrap w:val="0"/>
            <w:vAlign w:val="center"/>
          </w:tcPr>
          <w:p w14:paraId="27D3A1A7">
            <w:pPr>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w:t>
            </w:r>
          </w:p>
        </w:tc>
        <w:tc>
          <w:tcPr>
            <w:tcW w:w="532" w:type="pct"/>
            <w:noWrap w:val="0"/>
            <w:vAlign w:val="center"/>
          </w:tcPr>
          <w:p w14:paraId="04DEE8B0">
            <w:pPr>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姓名</w:t>
            </w:r>
          </w:p>
        </w:tc>
        <w:tc>
          <w:tcPr>
            <w:tcW w:w="872" w:type="pct"/>
            <w:noWrap w:val="0"/>
            <w:vAlign w:val="center"/>
          </w:tcPr>
          <w:p w14:paraId="305035A5">
            <w:pPr>
              <w:ind w:left="0" w:leftChars="0" w:firstLine="0" w:firstLineChars="0"/>
              <w:jc w:val="center"/>
              <w:rPr>
                <w:rFonts w:hint="eastAsia" w:ascii="仿宋_GB2312" w:hAnsi="仿宋_GB2312" w:eastAsia="仿宋_GB2312" w:cs="仿宋_GB2312"/>
                <w:color w:val="auto"/>
                <w:sz w:val="24"/>
                <w:highlight w:val="none"/>
              </w:rPr>
            </w:pPr>
          </w:p>
        </w:tc>
        <w:tc>
          <w:tcPr>
            <w:tcW w:w="616" w:type="pct"/>
            <w:noWrap w:val="0"/>
            <w:vAlign w:val="center"/>
          </w:tcPr>
          <w:p w14:paraId="570E2F69">
            <w:pPr>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技术职称</w:t>
            </w:r>
          </w:p>
        </w:tc>
        <w:tc>
          <w:tcPr>
            <w:tcW w:w="697" w:type="pct"/>
            <w:noWrap w:val="0"/>
            <w:vAlign w:val="center"/>
          </w:tcPr>
          <w:p w14:paraId="564414C3">
            <w:pPr>
              <w:ind w:left="0" w:leftChars="0" w:firstLine="0" w:firstLineChars="0"/>
              <w:jc w:val="center"/>
              <w:rPr>
                <w:rFonts w:hint="eastAsia" w:ascii="仿宋_GB2312" w:hAnsi="仿宋_GB2312" w:eastAsia="仿宋_GB2312" w:cs="仿宋_GB2312"/>
                <w:color w:val="auto"/>
                <w:sz w:val="24"/>
                <w:highlight w:val="none"/>
              </w:rPr>
            </w:pPr>
          </w:p>
        </w:tc>
        <w:tc>
          <w:tcPr>
            <w:tcW w:w="450" w:type="pct"/>
            <w:noWrap w:val="0"/>
            <w:vAlign w:val="center"/>
          </w:tcPr>
          <w:p w14:paraId="26AE1F8B">
            <w:pPr>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电话</w:t>
            </w:r>
          </w:p>
        </w:tc>
        <w:tc>
          <w:tcPr>
            <w:tcW w:w="681" w:type="pct"/>
            <w:noWrap w:val="0"/>
            <w:vAlign w:val="center"/>
          </w:tcPr>
          <w:p w14:paraId="175B681E">
            <w:pPr>
              <w:ind w:left="0" w:leftChars="0" w:firstLine="0" w:firstLineChars="0"/>
              <w:jc w:val="center"/>
              <w:rPr>
                <w:rFonts w:hint="eastAsia" w:ascii="仿宋_GB2312" w:hAnsi="仿宋_GB2312" w:eastAsia="仿宋_GB2312" w:cs="仿宋_GB2312"/>
                <w:color w:val="auto"/>
                <w:sz w:val="24"/>
                <w:highlight w:val="none"/>
              </w:rPr>
            </w:pPr>
          </w:p>
        </w:tc>
      </w:tr>
      <w:tr w14:paraId="6ECABD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49" w:type="pct"/>
            <w:noWrap w:val="0"/>
            <w:vAlign w:val="center"/>
          </w:tcPr>
          <w:p w14:paraId="476AEF68">
            <w:pPr>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技术负责人</w:t>
            </w:r>
          </w:p>
        </w:tc>
        <w:tc>
          <w:tcPr>
            <w:tcW w:w="532" w:type="pct"/>
            <w:noWrap w:val="0"/>
            <w:vAlign w:val="center"/>
          </w:tcPr>
          <w:p w14:paraId="49BE7D73">
            <w:pPr>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姓名</w:t>
            </w:r>
          </w:p>
        </w:tc>
        <w:tc>
          <w:tcPr>
            <w:tcW w:w="872" w:type="pct"/>
            <w:noWrap w:val="0"/>
            <w:vAlign w:val="center"/>
          </w:tcPr>
          <w:p w14:paraId="4BF940F1">
            <w:pPr>
              <w:ind w:left="0" w:leftChars="0" w:firstLine="0" w:firstLineChars="0"/>
              <w:jc w:val="center"/>
              <w:rPr>
                <w:rFonts w:hint="eastAsia" w:ascii="仿宋_GB2312" w:hAnsi="仿宋_GB2312" w:eastAsia="仿宋_GB2312" w:cs="仿宋_GB2312"/>
                <w:color w:val="auto"/>
                <w:sz w:val="24"/>
                <w:highlight w:val="none"/>
              </w:rPr>
            </w:pPr>
          </w:p>
        </w:tc>
        <w:tc>
          <w:tcPr>
            <w:tcW w:w="616" w:type="pct"/>
            <w:noWrap w:val="0"/>
            <w:vAlign w:val="center"/>
          </w:tcPr>
          <w:p w14:paraId="51DE4350">
            <w:pPr>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技术职称</w:t>
            </w:r>
          </w:p>
        </w:tc>
        <w:tc>
          <w:tcPr>
            <w:tcW w:w="697" w:type="pct"/>
            <w:noWrap w:val="0"/>
            <w:vAlign w:val="center"/>
          </w:tcPr>
          <w:p w14:paraId="70B634CF">
            <w:pPr>
              <w:ind w:left="0" w:leftChars="0" w:firstLine="0" w:firstLineChars="0"/>
              <w:jc w:val="center"/>
              <w:rPr>
                <w:rFonts w:hint="eastAsia" w:ascii="仿宋_GB2312" w:hAnsi="仿宋_GB2312" w:eastAsia="仿宋_GB2312" w:cs="仿宋_GB2312"/>
                <w:color w:val="auto"/>
                <w:sz w:val="24"/>
                <w:highlight w:val="none"/>
              </w:rPr>
            </w:pPr>
          </w:p>
        </w:tc>
        <w:tc>
          <w:tcPr>
            <w:tcW w:w="450" w:type="pct"/>
            <w:noWrap w:val="0"/>
            <w:vAlign w:val="center"/>
          </w:tcPr>
          <w:p w14:paraId="4517FEA3">
            <w:pPr>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电话</w:t>
            </w:r>
          </w:p>
        </w:tc>
        <w:tc>
          <w:tcPr>
            <w:tcW w:w="681" w:type="pct"/>
            <w:noWrap w:val="0"/>
            <w:vAlign w:val="center"/>
          </w:tcPr>
          <w:p w14:paraId="19254CE4">
            <w:pPr>
              <w:ind w:left="0" w:leftChars="0" w:firstLine="0" w:firstLineChars="0"/>
              <w:jc w:val="center"/>
              <w:rPr>
                <w:rFonts w:hint="eastAsia" w:ascii="仿宋_GB2312" w:hAnsi="仿宋_GB2312" w:eastAsia="仿宋_GB2312" w:cs="仿宋_GB2312"/>
                <w:color w:val="auto"/>
                <w:sz w:val="24"/>
                <w:highlight w:val="none"/>
              </w:rPr>
            </w:pPr>
          </w:p>
        </w:tc>
      </w:tr>
      <w:tr w14:paraId="642B47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49" w:type="pct"/>
            <w:noWrap w:val="0"/>
            <w:vAlign w:val="center"/>
          </w:tcPr>
          <w:p w14:paraId="2FF7ED62">
            <w:pPr>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成立时间</w:t>
            </w:r>
          </w:p>
        </w:tc>
        <w:tc>
          <w:tcPr>
            <w:tcW w:w="1404" w:type="pct"/>
            <w:gridSpan w:val="2"/>
            <w:noWrap w:val="0"/>
            <w:vAlign w:val="center"/>
          </w:tcPr>
          <w:p w14:paraId="26A84FAC">
            <w:pPr>
              <w:ind w:left="0" w:leftChars="0" w:firstLine="0" w:firstLineChars="0"/>
              <w:jc w:val="center"/>
              <w:rPr>
                <w:rFonts w:hint="eastAsia" w:ascii="仿宋_GB2312" w:hAnsi="仿宋_GB2312" w:eastAsia="仿宋_GB2312" w:cs="仿宋_GB2312"/>
                <w:color w:val="auto"/>
                <w:sz w:val="24"/>
                <w:highlight w:val="none"/>
              </w:rPr>
            </w:pPr>
          </w:p>
        </w:tc>
        <w:tc>
          <w:tcPr>
            <w:tcW w:w="2445" w:type="pct"/>
            <w:gridSpan w:val="4"/>
            <w:noWrap w:val="0"/>
            <w:vAlign w:val="center"/>
          </w:tcPr>
          <w:p w14:paraId="7873745E">
            <w:pPr>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员工总人数：</w:t>
            </w:r>
          </w:p>
        </w:tc>
      </w:tr>
      <w:tr w14:paraId="623976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1149" w:type="pct"/>
            <w:noWrap w:val="0"/>
            <w:vAlign w:val="center"/>
          </w:tcPr>
          <w:p w14:paraId="702AF19E">
            <w:pPr>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营业执照号</w:t>
            </w:r>
          </w:p>
        </w:tc>
        <w:tc>
          <w:tcPr>
            <w:tcW w:w="3850" w:type="pct"/>
            <w:gridSpan w:val="6"/>
            <w:tcBorders>
              <w:bottom w:val="single" w:color="auto" w:sz="4" w:space="0"/>
            </w:tcBorders>
            <w:noWrap w:val="0"/>
            <w:vAlign w:val="center"/>
          </w:tcPr>
          <w:p w14:paraId="79B47345">
            <w:pPr>
              <w:ind w:left="0" w:leftChars="0" w:firstLine="0" w:firstLineChars="0"/>
              <w:jc w:val="center"/>
              <w:rPr>
                <w:rFonts w:hint="eastAsia" w:ascii="仿宋_GB2312" w:hAnsi="仿宋_GB2312" w:eastAsia="仿宋_GB2312" w:cs="仿宋_GB2312"/>
                <w:color w:val="auto"/>
                <w:sz w:val="24"/>
                <w:highlight w:val="none"/>
              </w:rPr>
            </w:pPr>
          </w:p>
        </w:tc>
      </w:tr>
      <w:tr w14:paraId="09146B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1149" w:type="pct"/>
            <w:noWrap w:val="0"/>
            <w:vAlign w:val="center"/>
          </w:tcPr>
          <w:p w14:paraId="5B92D6EB">
            <w:pPr>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注册资金</w:t>
            </w:r>
          </w:p>
        </w:tc>
        <w:tc>
          <w:tcPr>
            <w:tcW w:w="3850" w:type="pct"/>
            <w:gridSpan w:val="6"/>
            <w:tcBorders>
              <w:top w:val="single" w:color="auto" w:sz="4" w:space="0"/>
              <w:bottom w:val="single" w:color="auto" w:sz="4" w:space="0"/>
            </w:tcBorders>
            <w:noWrap w:val="0"/>
            <w:vAlign w:val="center"/>
          </w:tcPr>
          <w:p w14:paraId="493AC958">
            <w:pPr>
              <w:ind w:left="0" w:leftChars="0" w:firstLine="0" w:firstLineChars="0"/>
              <w:jc w:val="center"/>
              <w:rPr>
                <w:rFonts w:hint="eastAsia" w:ascii="仿宋_GB2312" w:hAnsi="仿宋_GB2312" w:eastAsia="仿宋_GB2312" w:cs="仿宋_GB2312"/>
                <w:color w:val="auto"/>
                <w:sz w:val="24"/>
                <w:highlight w:val="none"/>
              </w:rPr>
            </w:pPr>
          </w:p>
        </w:tc>
      </w:tr>
      <w:tr w14:paraId="7A7B9F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1149" w:type="pct"/>
            <w:noWrap w:val="0"/>
            <w:vAlign w:val="center"/>
          </w:tcPr>
          <w:p w14:paraId="01D7AA17">
            <w:pPr>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开户银行</w:t>
            </w:r>
          </w:p>
        </w:tc>
        <w:tc>
          <w:tcPr>
            <w:tcW w:w="3850" w:type="pct"/>
            <w:gridSpan w:val="6"/>
            <w:tcBorders>
              <w:top w:val="single" w:color="auto" w:sz="4" w:space="0"/>
              <w:bottom w:val="single" w:color="auto" w:sz="4" w:space="0"/>
            </w:tcBorders>
            <w:noWrap w:val="0"/>
            <w:vAlign w:val="center"/>
          </w:tcPr>
          <w:p w14:paraId="7EE07B9A">
            <w:pPr>
              <w:ind w:left="0" w:leftChars="0" w:firstLine="0" w:firstLineChars="0"/>
              <w:jc w:val="center"/>
              <w:rPr>
                <w:rFonts w:hint="eastAsia" w:ascii="仿宋_GB2312" w:hAnsi="仿宋_GB2312" w:eastAsia="仿宋_GB2312" w:cs="仿宋_GB2312"/>
                <w:color w:val="auto"/>
                <w:sz w:val="24"/>
                <w:highlight w:val="none"/>
              </w:rPr>
            </w:pPr>
          </w:p>
        </w:tc>
      </w:tr>
      <w:tr w14:paraId="3495F9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1149" w:type="pct"/>
            <w:noWrap w:val="0"/>
            <w:vAlign w:val="center"/>
          </w:tcPr>
          <w:p w14:paraId="2AB2F085">
            <w:pPr>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银行账号</w:t>
            </w:r>
          </w:p>
        </w:tc>
        <w:tc>
          <w:tcPr>
            <w:tcW w:w="3850" w:type="pct"/>
            <w:gridSpan w:val="6"/>
            <w:tcBorders>
              <w:top w:val="single" w:color="auto" w:sz="4" w:space="0"/>
            </w:tcBorders>
            <w:noWrap w:val="0"/>
            <w:vAlign w:val="center"/>
          </w:tcPr>
          <w:p w14:paraId="35796D69">
            <w:pPr>
              <w:ind w:left="0" w:leftChars="0" w:firstLine="0" w:firstLineChars="0"/>
              <w:jc w:val="center"/>
              <w:rPr>
                <w:rFonts w:hint="eastAsia" w:ascii="仿宋_GB2312" w:hAnsi="仿宋_GB2312" w:eastAsia="仿宋_GB2312" w:cs="仿宋_GB2312"/>
                <w:color w:val="auto"/>
                <w:sz w:val="24"/>
                <w:highlight w:val="none"/>
              </w:rPr>
            </w:pPr>
          </w:p>
        </w:tc>
      </w:tr>
      <w:tr w14:paraId="344906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65" w:hRule="atLeast"/>
        </w:trPr>
        <w:tc>
          <w:tcPr>
            <w:tcW w:w="1149" w:type="pct"/>
            <w:noWrap w:val="0"/>
            <w:vAlign w:val="center"/>
          </w:tcPr>
          <w:p w14:paraId="43C5D2E8">
            <w:pPr>
              <w:ind w:left="0" w:lef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经营范围备注</w:t>
            </w:r>
          </w:p>
        </w:tc>
        <w:tc>
          <w:tcPr>
            <w:tcW w:w="3850" w:type="pct"/>
            <w:gridSpan w:val="6"/>
            <w:noWrap w:val="0"/>
            <w:vAlign w:val="center"/>
          </w:tcPr>
          <w:p w14:paraId="684BCD59">
            <w:pPr>
              <w:ind w:left="0" w:leftChars="0" w:firstLine="0" w:firstLineChars="0"/>
              <w:jc w:val="center"/>
              <w:rPr>
                <w:rFonts w:hint="eastAsia" w:ascii="仿宋_GB2312" w:hAnsi="仿宋_GB2312" w:eastAsia="仿宋_GB2312" w:cs="仿宋_GB2312"/>
                <w:color w:val="auto"/>
                <w:sz w:val="24"/>
                <w:highlight w:val="none"/>
              </w:rPr>
            </w:pPr>
          </w:p>
        </w:tc>
      </w:tr>
    </w:tbl>
    <w:p w14:paraId="4C51D0F1">
      <w:pPr>
        <w:bidi w:val="0"/>
        <w:ind w:firstLine="960" w:firstLineChars="400"/>
        <w:jc w:val="both"/>
        <w:rPr>
          <w:rFonts w:hint="eastAsia" w:ascii="Times New Roman" w:hAnsi="Times New Roman" w:cs="Times New Roman"/>
          <w:color w:val="auto"/>
          <w:highlight w:val="none"/>
          <w:u w:val="single"/>
          <w:lang w:val="en-US" w:eastAsia="zh-CN"/>
        </w:rPr>
      </w:pPr>
      <w:r>
        <w:rPr>
          <w:rFonts w:hint="eastAsia" w:ascii="仿宋_GB2312" w:hAnsi="仿宋_GB2312" w:eastAsia="仿宋_GB2312" w:cs="仿宋_GB2312"/>
          <w:color w:val="auto"/>
          <w:sz w:val="24"/>
          <w:highlight w:val="none"/>
        </w:rPr>
        <w:t>供应商：</w:t>
      </w:r>
      <w:r>
        <w:rPr>
          <w:rFonts w:hint="eastAsia" w:ascii="仿宋_GB2312" w:hAnsi="仿宋_GB2312" w:eastAsia="仿宋_GB2312" w:cs="仿宋_GB2312"/>
          <w:color w:val="auto"/>
          <w:sz w:val="24"/>
          <w:highlight w:val="none"/>
          <w:u w:val="single"/>
          <w:lang w:val="en-US" w:eastAsia="zh-CN"/>
        </w:rPr>
        <w:t xml:space="preserve">    </w:t>
      </w:r>
      <w:r>
        <w:rPr>
          <w:rFonts w:hint="eastAsia" w:ascii="Times New Roman" w:hAnsi="Times New Roman" w:cs="Times New Roman"/>
          <w:color w:val="auto"/>
          <w:highlight w:val="none"/>
          <w:u w:val="single"/>
          <w:lang w:val="en-US" w:eastAsia="zh-CN"/>
        </w:rPr>
        <w:t>（公章或投标专用章）</w:t>
      </w:r>
    </w:p>
    <w:p w14:paraId="382E511A">
      <w:pPr>
        <w:spacing w:line="432" w:lineRule="auto"/>
        <w:rPr>
          <w:rFonts w:hint="eastAsia" w:ascii="仿宋_GB2312" w:hAnsi="仿宋_GB2312" w:eastAsia="仿宋_GB2312" w:cs="仿宋_GB2312"/>
          <w:color w:val="auto"/>
          <w:sz w:val="24"/>
          <w:highlight w:val="none"/>
          <w:u w:val="single"/>
          <w:lang w:val="en-US" w:eastAsia="zh-CN"/>
        </w:rPr>
      </w:pPr>
      <w:r>
        <w:rPr>
          <w:rFonts w:hint="eastAsia" w:ascii="仿宋_GB2312" w:hAnsi="仿宋_GB2312" w:eastAsia="仿宋_GB2312" w:cs="仿宋_GB2312"/>
          <w:color w:val="auto"/>
          <w:sz w:val="24"/>
          <w:highlight w:val="none"/>
          <w:u w:val="single"/>
          <w:lang w:val="en-US" w:eastAsia="zh-CN"/>
        </w:rPr>
        <w:t xml:space="preserve"> </w:t>
      </w:r>
    </w:p>
    <w:p w14:paraId="295D816A">
      <w:pPr>
        <w:pStyle w:val="3"/>
        <w:numPr>
          <w:ilvl w:val="0"/>
          <w:numId w:val="0"/>
        </w:numPr>
        <w:bidi w:val="0"/>
        <w:jc w:val="center"/>
        <w:rPr>
          <w:rFonts w:ascii="仿宋" w:hAnsi="仿宋" w:eastAsia="仿宋" w:cs="仿宋"/>
          <w:color w:val="auto"/>
          <w:sz w:val="24"/>
          <w:highlight w:val="none"/>
          <w:u w:val="single"/>
        </w:rPr>
      </w:pPr>
      <w:r>
        <w:rPr>
          <w:rFonts w:hint="eastAsia" w:ascii="仿宋" w:hAnsi="仿宋" w:eastAsia="仿宋" w:cs="仿宋"/>
          <w:color w:val="auto"/>
          <w:highlight w:val="none"/>
        </w:rPr>
        <w:br w:type="page"/>
      </w:r>
      <w:bookmarkStart w:id="351" w:name="_Toc30610"/>
      <w:bookmarkStart w:id="352" w:name="_Toc5129"/>
      <w:bookmarkStart w:id="353" w:name="_Toc17899"/>
      <w:bookmarkStart w:id="354" w:name="_Toc3799"/>
      <w:bookmarkStart w:id="355" w:name="_Toc4345"/>
      <w:bookmarkStart w:id="356" w:name="_Toc15072"/>
      <w:bookmarkStart w:id="357" w:name="_Toc19524"/>
      <w:bookmarkStart w:id="358" w:name="_Toc31702"/>
      <w:bookmarkStart w:id="359" w:name="_Toc18059"/>
      <w:r>
        <w:rPr>
          <w:rFonts w:hint="eastAsia" w:cs="Times New Roman"/>
          <w:highlight w:val="none"/>
          <w:lang w:val="en-US" w:eastAsia="zh-CN"/>
        </w:rPr>
        <w:t>格式5.技术文件</w:t>
      </w:r>
      <w:bookmarkEnd w:id="351"/>
      <w:bookmarkEnd w:id="352"/>
      <w:bookmarkEnd w:id="353"/>
      <w:bookmarkEnd w:id="354"/>
      <w:bookmarkEnd w:id="355"/>
      <w:bookmarkEnd w:id="356"/>
      <w:bookmarkEnd w:id="357"/>
      <w:bookmarkEnd w:id="358"/>
      <w:bookmarkEnd w:id="359"/>
    </w:p>
    <w:p w14:paraId="42A3D12E">
      <w:pPr>
        <w:spacing w:line="432" w:lineRule="auto"/>
        <w:ind w:firstLine="1920" w:firstLineChars="800"/>
        <w:jc w:val="both"/>
        <w:rPr>
          <w:rFonts w:hint="eastAsia" w:ascii="仿宋_GB2312" w:hAnsi="仿宋_GB2312" w:eastAsia="仿宋_GB2312" w:cs="Times New Roman"/>
          <w:b/>
          <w:bCs/>
          <w:kern w:val="2"/>
          <w:sz w:val="24"/>
          <w:szCs w:val="32"/>
          <w:highlight w:val="none"/>
          <w:lang w:val="en-US" w:eastAsia="zh-CN" w:bidi="ar-SA"/>
        </w:rPr>
        <w:sectPr>
          <w:footerReference r:id="rId14" w:type="default"/>
          <w:pgSz w:w="11905" w:h="16838"/>
          <w:pgMar w:top="1417" w:right="1814" w:bottom="1417" w:left="1814" w:header="850" w:footer="992" w:gutter="0"/>
          <w:pgBorders>
            <w:top w:val="none" w:sz="0" w:space="0"/>
            <w:left w:val="none" w:sz="0" w:space="0"/>
            <w:bottom w:val="none" w:sz="0" w:space="0"/>
            <w:right w:val="none" w:sz="0" w:space="0"/>
          </w:pgBorders>
          <w:pgNumType w:fmt="decimal"/>
          <w:cols w:space="0" w:num="1"/>
          <w:rtlGutter w:val="0"/>
          <w:docGrid w:type="linesAndChars" w:linePitch="333" w:charSpace="0"/>
        </w:sectPr>
      </w:pPr>
      <w:r>
        <w:rPr>
          <w:rFonts w:hint="eastAsia" w:ascii="仿宋_GB2312" w:hAnsi="仿宋_GB2312" w:eastAsia="仿宋_GB2312" w:cs="Times New Roman"/>
          <w:b/>
          <w:bCs/>
          <w:kern w:val="2"/>
          <w:sz w:val="24"/>
          <w:szCs w:val="32"/>
          <w:highlight w:val="none"/>
          <w:lang w:val="en-US" w:eastAsia="zh-CN" w:bidi="ar-SA"/>
        </w:rPr>
        <w:t>（具体详见第6章系统需求及参数要求）</w:t>
      </w:r>
    </w:p>
    <w:p w14:paraId="47B7A88A">
      <w:pPr>
        <w:pStyle w:val="3"/>
        <w:numPr>
          <w:ilvl w:val="0"/>
          <w:numId w:val="0"/>
        </w:numPr>
        <w:bidi w:val="0"/>
        <w:jc w:val="center"/>
        <w:rPr>
          <w:rFonts w:hint="default" w:cs="Times New Roman"/>
          <w:highlight w:val="none"/>
          <w:lang w:val="en-US" w:eastAsia="zh-CN"/>
        </w:rPr>
      </w:pPr>
      <w:bookmarkStart w:id="360" w:name="_Toc505020178"/>
      <w:bookmarkStart w:id="361" w:name="_Toc498611443"/>
      <w:bookmarkStart w:id="362" w:name="_Toc25853"/>
      <w:bookmarkStart w:id="363" w:name="_Toc293934829"/>
      <w:bookmarkStart w:id="364" w:name="_Toc8465"/>
      <w:bookmarkStart w:id="365" w:name="_Toc1536"/>
      <w:bookmarkStart w:id="366" w:name="_Toc31420"/>
      <w:bookmarkStart w:id="367" w:name="_Toc29101"/>
      <w:bookmarkStart w:id="368" w:name="_Toc12886"/>
      <w:bookmarkStart w:id="369" w:name="_Toc50"/>
      <w:bookmarkStart w:id="370" w:name="_Toc14963"/>
      <w:bookmarkStart w:id="371" w:name="_Toc10891"/>
      <w:r>
        <w:rPr>
          <w:rFonts w:hint="eastAsia" w:cs="Times New Roman"/>
          <w:highlight w:val="none"/>
          <w:lang w:val="en-US" w:eastAsia="zh-CN"/>
        </w:rPr>
        <w:t>格式6.资格</w:t>
      </w:r>
      <w:bookmarkEnd w:id="360"/>
      <w:bookmarkEnd w:id="361"/>
      <w:bookmarkEnd w:id="362"/>
      <w:bookmarkEnd w:id="363"/>
      <w:r>
        <w:rPr>
          <w:rFonts w:hint="eastAsia" w:cs="Times New Roman"/>
          <w:highlight w:val="none"/>
          <w:lang w:val="en-US" w:eastAsia="zh-CN"/>
        </w:rPr>
        <w:t>证明文件</w:t>
      </w:r>
      <w:bookmarkEnd w:id="364"/>
      <w:bookmarkEnd w:id="365"/>
      <w:bookmarkEnd w:id="366"/>
      <w:bookmarkEnd w:id="367"/>
      <w:bookmarkEnd w:id="368"/>
      <w:bookmarkEnd w:id="369"/>
      <w:bookmarkEnd w:id="370"/>
      <w:bookmarkEnd w:id="371"/>
    </w:p>
    <w:p w14:paraId="4BA5432B">
      <w:pPr>
        <w:ind w:firstLine="0" w:firstLineChars="0"/>
        <w:jc w:val="center"/>
        <w:rPr>
          <w:rFonts w:hint="eastAsia"/>
          <w:b/>
          <w:bCs/>
          <w:color w:val="auto"/>
          <w:highlight w:val="none"/>
          <w:lang w:val="en-US" w:eastAsia="zh-CN"/>
        </w:rPr>
      </w:pPr>
    </w:p>
    <w:p w14:paraId="7FB2EC92">
      <w:pPr>
        <w:bidi w:val="0"/>
        <w:jc w:val="center"/>
        <w:rPr>
          <w:rFonts w:hint="eastAsia"/>
          <w:b/>
          <w:bCs/>
          <w:color w:val="auto"/>
          <w:highlight w:val="none"/>
          <w:lang w:val="en-US" w:eastAsia="zh-CN"/>
        </w:rPr>
      </w:pPr>
      <w:r>
        <w:rPr>
          <w:rFonts w:hint="eastAsia"/>
          <w:b/>
          <w:bCs/>
          <w:color w:val="auto"/>
          <w:highlight w:val="none"/>
          <w:lang w:val="en-US" w:eastAsia="zh-CN"/>
        </w:rPr>
        <w:t>6.1基本资格条件</w:t>
      </w:r>
    </w:p>
    <w:p w14:paraId="17C09A25">
      <w:pPr>
        <w:ind w:firstLine="0" w:firstLineChars="0"/>
        <w:jc w:val="left"/>
        <w:rPr>
          <w:rFonts w:hint="default" w:eastAsia="仿宋_GB2312"/>
          <w:b w:val="0"/>
          <w:bCs w:val="0"/>
          <w:color w:val="auto"/>
          <w:highlight w:val="none"/>
          <w:lang w:val="en-US" w:eastAsia="zh-CN"/>
        </w:rPr>
      </w:pPr>
      <w:r>
        <w:rPr>
          <w:rFonts w:hint="eastAsia"/>
          <w:b w:val="0"/>
          <w:bCs w:val="0"/>
          <w:color w:val="auto"/>
          <w:highlight w:val="none"/>
          <w:lang w:val="en-US" w:eastAsia="zh-CN"/>
        </w:rPr>
        <w:t>要求：提供承诺书</w:t>
      </w:r>
    </w:p>
    <w:p w14:paraId="72C1684F">
      <w:pPr>
        <w:ind w:firstLine="0" w:firstLineChars="0"/>
        <w:jc w:val="center"/>
        <w:rPr>
          <w:rFonts w:hint="eastAsia"/>
          <w:b/>
          <w:bCs/>
          <w:color w:val="auto"/>
          <w:highlight w:val="none"/>
        </w:rPr>
      </w:pPr>
    </w:p>
    <w:p w14:paraId="1654B16B">
      <w:pPr>
        <w:ind w:firstLine="0" w:firstLineChars="0"/>
        <w:jc w:val="center"/>
        <w:rPr>
          <w:rFonts w:cs="Times New Roman"/>
          <w:b/>
          <w:bCs/>
          <w:color w:val="auto"/>
          <w:szCs w:val="24"/>
          <w:highlight w:val="none"/>
        </w:rPr>
      </w:pPr>
      <w:r>
        <w:rPr>
          <w:rFonts w:hint="eastAsia"/>
          <w:b/>
          <w:bCs/>
          <w:color w:val="auto"/>
          <w:highlight w:val="none"/>
          <w:lang w:val="en-US" w:eastAsia="zh-CN"/>
        </w:rPr>
        <w:t>基本</w:t>
      </w:r>
      <w:r>
        <w:rPr>
          <w:rFonts w:hint="eastAsia"/>
          <w:b/>
          <w:bCs/>
          <w:color w:val="auto"/>
          <w:highlight w:val="none"/>
        </w:rPr>
        <w:t>资格条件</w:t>
      </w:r>
      <w:r>
        <w:rPr>
          <w:rFonts w:cs="Times New Roman"/>
          <w:b/>
          <w:bCs/>
          <w:color w:val="auto"/>
          <w:szCs w:val="24"/>
          <w:highlight w:val="none"/>
        </w:rPr>
        <w:t>承诺书</w:t>
      </w:r>
    </w:p>
    <w:p w14:paraId="683F5291">
      <w:pPr>
        <w:ind w:firstLine="0" w:firstLineChars="0"/>
        <w:rPr>
          <w:rFonts w:hint="eastAsia" w:eastAsia="仿宋_GB2312"/>
          <w:color w:val="auto"/>
          <w:highlight w:val="none"/>
          <w:lang w:eastAsia="zh-CN"/>
        </w:rPr>
      </w:pPr>
      <w:r>
        <w:rPr>
          <w:color w:val="auto"/>
          <w:highlight w:val="none"/>
        </w:rPr>
        <w:t>致：</w:t>
      </w:r>
      <w:r>
        <w:rPr>
          <w:rFonts w:hint="eastAsia"/>
          <w:highlight w:val="none"/>
          <w:u w:val="single"/>
          <w:lang w:val="en-US" w:eastAsia="zh-CN"/>
        </w:rPr>
        <w:t>江西萍乡建工集团有限公司</w:t>
      </w:r>
    </w:p>
    <w:p w14:paraId="5C4A7027">
      <w:pPr>
        <w:ind w:firstLine="480"/>
        <w:rPr>
          <w:rFonts w:hint="eastAsia"/>
          <w:color w:val="auto"/>
          <w:highlight w:val="none"/>
          <w:lang w:eastAsia="zh-CN"/>
        </w:rPr>
      </w:pPr>
      <w:r>
        <w:rPr>
          <w:color w:val="auto"/>
          <w:highlight w:val="none"/>
        </w:rPr>
        <w:t>我公司参加贵司组织的</w:t>
      </w:r>
      <w:r>
        <w:rPr>
          <w:rFonts w:hint="eastAsia" w:cs="Times New Roman"/>
          <w:highlight w:val="none"/>
          <w:u w:val="single"/>
          <w:lang w:val="en-US" w:eastAsia="zh-CN"/>
        </w:rPr>
        <w:t xml:space="preserve"> 江西萍乡建工集团有限公司财务系统项目</w:t>
      </w:r>
      <w:r>
        <w:rPr>
          <w:rFonts w:hint="eastAsia"/>
          <w:color w:val="auto"/>
          <w:highlight w:val="none"/>
          <w:u w:val="single"/>
        </w:rPr>
        <w:t>（采购编号：</w:t>
      </w:r>
      <w:r>
        <w:rPr>
          <w:rFonts w:hint="eastAsia" w:cs="Times New Roman"/>
          <w:highlight w:val="none"/>
          <w:u w:val="single"/>
          <w:lang w:val="en-US" w:eastAsia="zh-CN"/>
        </w:rPr>
        <w:t>JXPXJG-CG-JT-2026-FW-002</w:t>
      </w:r>
      <w:r>
        <w:rPr>
          <w:color w:val="auto"/>
          <w:highlight w:val="none"/>
          <w:u w:val="single"/>
        </w:rPr>
        <w:t>）</w:t>
      </w:r>
      <w:r>
        <w:rPr>
          <w:color w:val="auto"/>
          <w:highlight w:val="none"/>
        </w:rPr>
        <w:t>采购活动，本公司郑重承诺</w:t>
      </w:r>
      <w:r>
        <w:rPr>
          <w:rFonts w:hint="eastAsia"/>
          <w:color w:val="auto"/>
          <w:highlight w:val="none"/>
          <w:lang w:eastAsia="zh-CN"/>
        </w:rPr>
        <w:t>，</w:t>
      </w:r>
      <w:r>
        <w:rPr>
          <w:color w:val="auto"/>
          <w:highlight w:val="none"/>
        </w:rPr>
        <w:t xml:space="preserve"> 在参加本次采购活动</w:t>
      </w:r>
      <w:r>
        <w:rPr>
          <w:rFonts w:hint="eastAsia"/>
          <w:color w:val="auto"/>
          <w:highlight w:val="none"/>
        </w:rPr>
        <w:t>中的</w:t>
      </w:r>
      <w:r>
        <w:rPr>
          <w:rFonts w:hint="eastAsia"/>
          <w:color w:val="auto"/>
          <w:highlight w:val="none"/>
          <w:lang w:val="en-US" w:eastAsia="zh-CN"/>
        </w:rPr>
        <w:t>基本</w:t>
      </w:r>
      <w:r>
        <w:rPr>
          <w:rFonts w:hint="eastAsia"/>
          <w:color w:val="auto"/>
          <w:highlight w:val="none"/>
        </w:rPr>
        <w:t>资格条件全部符合</w:t>
      </w:r>
      <w:r>
        <w:rPr>
          <w:rFonts w:hint="eastAsia"/>
          <w:color w:val="auto"/>
          <w:highlight w:val="none"/>
          <w:lang w:eastAsia="zh-CN"/>
        </w:rPr>
        <w:t>：</w:t>
      </w:r>
    </w:p>
    <w:p w14:paraId="68AF2D42">
      <w:pPr>
        <w:ind w:firstLine="640"/>
        <w:rPr>
          <w:rFonts w:hint="eastAsia" w:ascii="仿宋_GB2312" w:hAnsi="仿宋_GB2312" w:cs="仿宋_GB2312"/>
          <w:color w:val="auto"/>
          <w:highlight w:val="none"/>
        </w:rPr>
      </w:pPr>
      <w:r>
        <w:rPr>
          <w:rFonts w:hint="eastAsia" w:ascii="仿宋_GB2312" w:hAnsi="仿宋_GB2312" w:cs="仿宋_GB2312"/>
          <w:color w:val="auto"/>
          <w:highlight w:val="none"/>
          <w:lang w:val="en-US" w:eastAsia="zh-CN"/>
        </w:rPr>
        <w:t>1.</w:t>
      </w:r>
      <w:r>
        <w:rPr>
          <w:rFonts w:hint="eastAsia" w:ascii="仿宋_GB2312" w:hAnsi="仿宋_GB2312" w:cs="仿宋_GB2312"/>
          <w:color w:val="auto"/>
          <w:highlight w:val="none"/>
        </w:rPr>
        <w:t>具有独立承担民事责任的能力；</w:t>
      </w:r>
    </w:p>
    <w:p w14:paraId="3BB5FF7F">
      <w:pPr>
        <w:ind w:firstLine="640"/>
        <w:rPr>
          <w:rFonts w:hint="eastAsia" w:ascii="仿宋_GB2312" w:hAnsi="仿宋_GB2312" w:cs="仿宋_GB2312"/>
          <w:color w:val="auto"/>
          <w:highlight w:val="none"/>
        </w:rPr>
      </w:pPr>
      <w:r>
        <w:rPr>
          <w:rFonts w:hint="eastAsia" w:ascii="仿宋_GB2312" w:hAnsi="仿宋_GB2312" w:cs="仿宋_GB2312"/>
          <w:color w:val="auto"/>
          <w:highlight w:val="none"/>
          <w:lang w:val="en-US" w:eastAsia="zh-CN"/>
        </w:rPr>
        <w:t>2.</w:t>
      </w:r>
      <w:r>
        <w:rPr>
          <w:rFonts w:hint="eastAsia" w:ascii="仿宋_GB2312" w:hAnsi="仿宋_GB2312" w:cs="仿宋_GB2312"/>
          <w:color w:val="auto"/>
          <w:highlight w:val="none"/>
        </w:rPr>
        <w:t>具有良好的商业信誉和健全的财务会计制度；</w:t>
      </w:r>
    </w:p>
    <w:p w14:paraId="5B2DE765">
      <w:pPr>
        <w:ind w:firstLine="640"/>
        <w:rPr>
          <w:rFonts w:hint="eastAsia" w:ascii="仿宋_GB2312" w:hAnsi="仿宋_GB2312" w:cs="仿宋_GB2312"/>
          <w:color w:val="auto"/>
          <w:highlight w:val="none"/>
        </w:rPr>
      </w:pPr>
      <w:r>
        <w:rPr>
          <w:rFonts w:hint="eastAsia" w:ascii="仿宋_GB2312" w:hAnsi="仿宋_GB2312" w:cs="仿宋_GB2312"/>
          <w:color w:val="auto"/>
          <w:highlight w:val="none"/>
          <w:lang w:val="en-US" w:eastAsia="zh-CN"/>
        </w:rPr>
        <w:t>3.</w:t>
      </w:r>
      <w:r>
        <w:rPr>
          <w:rFonts w:hint="eastAsia" w:ascii="仿宋_GB2312" w:hAnsi="仿宋_GB2312" w:cs="仿宋_GB2312"/>
          <w:color w:val="auto"/>
          <w:highlight w:val="none"/>
        </w:rPr>
        <w:t>具有依法缴纳税收和社会保障资金的良好记录；</w:t>
      </w:r>
    </w:p>
    <w:p w14:paraId="16CA6FF7">
      <w:pPr>
        <w:ind w:firstLine="640"/>
        <w:rPr>
          <w:rFonts w:hint="eastAsia" w:ascii="仿宋_GB2312" w:hAnsi="仿宋_GB2312" w:cs="仿宋_GB2312"/>
          <w:color w:val="auto"/>
          <w:highlight w:val="none"/>
        </w:rPr>
      </w:pPr>
      <w:r>
        <w:rPr>
          <w:rFonts w:hint="eastAsia" w:ascii="仿宋_GB2312" w:hAnsi="仿宋_GB2312" w:cs="仿宋_GB2312"/>
          <w:color w:val="auto"/>
          <w:highlight w:val="none"/>
          <w:lang w:val="en-US" w:eastAsia="zh-CN"/>
        </w:rPr>
        <w:t>4.</w:t>
      </w:r>
      <w:r>
        <w:rPr>
          <w:rFonts w:hint="eastAsia" w:ascii="仿宋_GB2312" w:hAnsi="仿宋_GB2312" w:cs="仿宋_GB2312"/>
          <w:color w:val="auto"/>
          <w:highlight w:val="none"/>
        </w:rPr>
        <w:t>具有履行合同所必需的设备和专业技术能力；</w:t>
      </w:r>
    </w:p>
    <w:p w14:paraId="7C3F0FBF">
      <w:pPr>
        <w:ind w:firstLine="640"/>
        <w:rPr>
          <w:rFonts w:hint="eastAsia" w:ascii="仿宋_GB2312" w:hAnsi="仿宋_GB2312" w:cs="仿宋_GB2312"/>
          <w:color w:val="auto"/>
          <w:highlight w:val="none"/>
        </w:rPr>
      </w:pPr>
      <w:r>
        <w:rPr>
          <w:rFonts w:hint="eastAsia" w:ascii="仿宋_GB2312" w:hAnsi="仿宋_GB2312" w:cs="仿宋_GB2312"/>
          <w:color w:val="auto"/>
          <w:highlight w:val="none"/>
          <w:lang w:val="en-US" w:eastAsia="zh-CN"/>
        </w:rPr>
        <w:t>5.</w:t>
      </w:r>
      <w:r>
        <w:rPr>
          <w:rFonts w:hint="eastAsia" w:ascii="仿宋_GB2312" w:hAnsi="仿宋_GB2312" w:cs="仿宋_GB2312"/>
          <w:color w:val="auto"/>
          <w:highlight w:val="none"/>
        </w:rPr>
        <w:t>参加采购活动前三年内，在经营活动中没有重大违法记录；</w:t>
      </w:r>
    </w:p>
    <w:p w14:paraId="70CAB3E9">
      <w:pPr>
        <w:ind w:firstLine="640"/>
        <w:rPr>
          <w:rFonts w:hint="eastAsia" w:ascii="仿宋_GB2312" w:hAnsi="仿宋_GB2312" w:cs="仿宋_GB2312"/>
          <w:color w:val="auto"/>
          <w:highlight w:val="none"/>
        </w:rPr>
      </w:pPr>
      <w:r>
        <w:rPr>
          <w:rFonts w:hint="eastAsia" w:ascii="仿宋_GB2312" w:hAnsi="仿宋_GB2312" w:cs="仿宋_GB2312"/>
          <w:color w:val="auto"/>
          <w:highlight w:val="none"/>
          <w:lang w:val="en-US" w:eastAsia="zh-CN"/>
        </w:rPr>
        <w:t>6.</w:t>
      </w:r>
      <w:r>
        <w:rPr>
          <w:rFonts w:hint="eastAsia" w:ascii="仿宋_GB2312" w:hAnsi="仿宋_GB2312" w:cs="仿宋_GB2312"/>
          <w:color w:val="auto"/>
          <w:highlight w:val="none"/>
        </w:rPr>
        <w:t>信誉证明：</w:t>
      </w:r>
      <w:r>
        <w:rPr>
          <w:rFonts w:hint="eastAsia" w:cs="仿宋_GB2312"/>
          <w:color w:val="auto"/>
          <w:highlight w:val="none"/>
          <w:lang w:eastAsia="zh-CN"/>
        </w:rPr>
        <w:t>供应商</w:t>
      </w:r>
      <w:r>
        <w:rPr>
          <w:rFonts w:hint="eastAsia" w:ascii="仿宋_GB2312" w:hAnsi="仿宋_GB2312" w:cs="仿宋_GB2312"/>
          <w:color w:val="auto"/>
          <w:highlight w:val="none"/>
        </w:rPr>
        <w:t>未被“信用中国”网站列入“失信被执行人”和“重大税收违法案件当事人”名单、未被“中国政府采购网”网站列入“政府采购严重违法失信行为记录”名单（处罚期限尚未届满的）；</w:t>
      </w:r>
    </w:p>
    <w:p w14:paraId="7FF57333">
      <w:pPr>
        <w:ind w:firstLine="640"/>
        <w:rPr>
          <w:rFonts w:hint="eastAsia" w:ascii="仿宋_GB2312" w:hAnsi="仿宋_GB2312" w:cs="仿宋_GB2312"/>
          <w:color w:val="auto"/>
          <w:highlight w:val="none"/>
        </w:rPr>
      </w:pPr>
      <w:r>
        <w:rPr>
          <w:rFonts w:hint="eastAsia" w:ascii="仿宋_GB2312" w:hAnsi="仿宋_GB2312" w:cs="仿宋_GB2312"/>
          <w:color w:val="auto"/>
          <w:highlight w:val="none"/>
          <w:lang w:val="en-US" w:eastAsia="zh-CN"/>
        </w:rPr>
        <w:t>7.</w:t>
      </w:r>
      <w:r>
        <w:rPr>
          <w:rFonts w:hint="eastAsia" w:ascii="仿宋_GB2312" w:hAnsi="仿宋_GB2312" w:cs="仿宋_GB2312"/>
          <w:color w:val="auto"/>
          <w:highlight w:val="none"/>
        </w:rPr>
        <w:t>单位负责人为同一人或者存在直接控股、管理关系的不同</w:t>
      </w:r>
      <w:r>
        <w:rPr>
          <w:rFonts w:hint="eastAsia" w:cs="仿宋_GB2312"/>
          <w:color w:val="auto"/>
          <w:highlight w:val="none"/>
          <w:lang w:eastAsia="zh-CN"/>
        </w:rPr>
        <w:t>供应商</w:t>
      </w:r>
      <w:r>
        <w:rPr>
          <w:rFonts w:hint="eastAsia" w:ascii="仿宋_GB2312" w:hAnsi="仿宋_GB2312" w:cs="仿宋_GB2312"/>
          <w:color w:val="auto"/>
          <w:highlight w:val="none"/>
        </w:rPr>
        <w:t>，不得参加同一标段投标或者未划分标段的同一招标项目；</w:t>
      </w:r>
    </w:p>
    <w:p w14:paraId="11AF133A">
      <w:pPr>
        <w:ind w:firstLine="480" w:firstLineChars="200"/>
        <w:rPr>
          <w:rFonts w:hint="eastAsia"/>
          <w:color w:val="auto"/>
          <w:highlight w:val="none"/>
          <w:lang w:eastAsia="zh-CN"/>
        </w:rPr>
      </w:pPr>
      <w:r>
        <w:rPr>
          <w:rFonts w:hint="eastAsia" w:ascii="仿宋_GB2312" w:hAnsi="仿宋_GB2312" w:cs="仿宋_GB2312"/>
          <w:color w:val="auto"/>
          <w:highlight w:val="none"/>
          <w:lang w:val="en-US" w:eastAsia="zh-CN"/>
        </w:rPr>
        <w:t>8.</w:t>
      </w:r>
      <w:r>
        <w:rPr>
          <w:rFonts w:hint="eastAsia" w:ascii="仿宋_GB2312" w:hAnsi="仿宋_GB2312" w:cs="仿宋_GB2312"/>
          <w:color w:val="auto"/>
          <w:highlight w:val="none"/>
        </w:rPr>
        <w:t>法律、行政法规规定的其他条件</w:t>
      </w:r>
      <w:r>
        <w:rPr>
          <w:rFonts w:hint="eastAsia" w:cs="仿宋_GB2312"/>
          <w:color w:val="auto"/>
          <w:sz w:val="24"/>
          <w:szCs w:val="24"/>
          <w:highlight w:val="none"/>
          <w:lang w:val="en-US" w:eastAsia="zh-CN"/>
        </w:rPr>
        <w:t>。</w:t>
      </w:r>
    </w:p>
    <w:p w14:paraId="180A6759">
      <w:pPr>
        <w:ind w:firstLine="480"/>
        <w:rPr>
          <w:color w:val="auto"/>
          <w:highlight w:val="none"/>
        </w:rPr>
      </w:pPr>
      <w:r>
        <w:rPr>
          <w:color w:val="auto"/>
          <w:highlight w:val="none"/>
        </w:rPr>
        <w:t>本公司对上述承诺的真实性负责。如有虚假，可取消本单位投标资格，并承担因此引起的一切后果。</w:t>
      </w:r>
    </w:p>
    <w:p w14:paraId="46E5BA85">
      <w:pPr>
        <w:ind w:firstLine="480"/>
        <w:rPr>
          <w:color w:val="auto"/>
          <w:highlight w:val="none"/>
        </w:rPr>
      </w:pPr>
      <w:r>
        <w:rPr>
          <w:color w:val="auto"/>
          <w:highlight w:val="none"/>
        </w:rPr>
        <w:t>特此承诺！</w:t>
      </w:r>
    </w:p>
    <w:p w14:paraId="1EF67FE2">
      <w:pPr>
        <w:pStyle w:val="14"/>
        <w:ind w:firstLine="210"/>
        <w:rPr>
          <w:color w:val="auto"/>
          <w:highlight w:val="none"/>
        </w:rPr>
      </w:pPr>
    </w:p>
    <w:p w14:paraId="09AEFCAC">
      <w:pPr>
        <w:bidi w:val="0"/>
        <w:ind w:firstLine="960" w:firstLineChars="400"/>
        <w:jc w:val="both"/>
        <w:rPr>
          <w:rFonts w:hint="eastAsia" w:ascii="Times New Roman" w:hAnsi="Times New Roman" w:cs="Times New Roman"/>
          <w:color w:val="auto"/>
          <w:highlight w:val="none"/>
          <w:u w:val="single"/>
          <w:lang w:val="en-US" w:eastAsia="zh-CN"/>
        </w:rPr>
      </w:pPr>
      <w:r>
        <w:rPr>
          <w:rFonts w:hint="eastAsia"/>
          <w:color w:val="auto"/>
          <w:highlight w:val="none"/>
        </w:rPr>
        <w:t>供应商盖章：</w:t>
      </w:r>
      <w:r>
        <w:rPr>
          <w:rFonts w:hint="eastAsia" w:ascii="Times New Roman" w:hAnsi="Times New Roman" w:cs="Times New Roman"/>
          <w:color w:val="auto"/>
          <w:highlight w:val="none"/>
          <w:u w:val="single"/>
          <w:lang w:val="en-US" w:eastAsia="zh-CN"/>
        </w:rPr>
        <w:t>（公章或投标专用章）</w:t>
      </w:r>
    </w:p>
    <w:p w14:paraId="2E92EDDF">
      <w:pPr>
        <w:ind w:firstLine="6000" w:firstLineChars="2500"/>
        <w:rPr>
          <w:color w:val="auto"/>
          <w:highlight w:val="none"/>
        </w:rPr>
      </w:pPr>
    </w:p>
    <w:p w14:paraId="3406A264">
      <w:pPr>
        <w:ind w:firstLine="960" w:firstLineChars="400"/>
        <w:rPr>
          <w:color w:val="auto"/>
          <w:highlight w:val="none"/>
        </w:rPr>
      </w:pPr>
      <w:r>
        <w:rPr>
          <w:rFonts w:hint="eastAsia"/>
          <w:color w:val="auto"/>
          <w:highlight w:val="none"/>
        </w:rPr>
        <w:t>日</w:t>
      </w:r>
      <w:r>
        <w:rPr>
          <w:rFonts w:hint="eastAsia"/>
          <w:color w:val="auto"/>
          <w:highlight w:val="none"/>
          <w:lang w:val="en-US" w:eastAsia="zh-CN"/>
        </w:rPr>
        <w:t xml:space="preserve"> </w:t>
      </w:r>
      <w:r>
        <w:rPr>
          <w:rFonts w:hint="eastAsia"/>
          <w:color w:val="auto"/>
          <w:highlight w:val="none"/>
        </w:rPr>
        <w:t>期：</w:t>
      </w:r>
    </w:p>
    <w:p w14:paraId="7B0AA1F5">
      <w:pPr>
        <w:bidi w:val="0"/>
        <w:jc w:val="both"/>
        <w:outlineLvl w:val="9"/>
        <w:rPr>
          <w:rStyle w:val="33"/>
          <w:rFonts w:hint="eastAsia"/>
          <w:b/>
          <w:bCs/>
          <w:highlight w:val="none"/>
          <w:lang w:val="en-US" w:eastAsia="zh-CN"/>
        </w:rPr>
      </w:pPr>
    </w:p>
    <w:p w14:paraId="1B7D0215">
      <w:pPr>
        <w:bidi w:val="0"/>
        <w:jc w:val="both"/>
        <w:outlineLvl w:val="9"/>
        <w:rPr>
          <w:rStyle w:val="33"/>
          <w:rFonts w:hint="eastAsia"/>
          <w:b/>
          <w:bCs/>
          <w:highlight w:val="none"/>
          <w:lang w:val="en-US" w:eastAsia="zh-CN"/>
        </w:rPr>
      </w:pPr>
    </w:p>
    <w:p w14:paraId="11B2F714">
      <w:pPr>
        <w:bidi w:val="0"/>
        <w:jc w:val="both"/>
        <w:outlineLvl w:val="9"/>
        <w:rPr>
          <w:rStyle w:val="33"/>
          <w:rFonts w:hint="eastAsia"/>
          <w:b/>
          <w:bCs/>
          <w:highlight w:val="none"/>
          <w:lang w:val="en-US" w:eastAsia="zh-CN"/>
        </w:rPr>
      </w:pPr>
    </w:p>
    <w:p w14:paraId="0096889F">
      <w:pPr>
        <w:bidi w:val="0"/>
        <w:jc w:val="both"/>
        <w:outlineLvl w:val="9"/>
        <w:rPr>
          <w:rStyle w:val="33"/>
          <w:rFonts w:hint="eastAsia"/>
          <w:b/>
          <w:bCs/>
          <w:highlight w:val="none"/>
          <w:lang w:val="en-US" w:eastAsia="zh-CN"/>
        </w:rPr>
      </w:pPr>
    </w:p>
    <w:p w14:paraId="34391ED7">
      <w:pPr>
        <w:rPr>
          <w:rFonts w:hint="eastAsia"/>
          <w:highlight w:val="none"/>
          <w:lang w:val="en-US" w:eastAsia="zh-CN"/>
        </w:rPr>
      </w:pPr>
    </w:p>
    <w:p w14:paraId="66FB03CF">
      <w:pPr>
        <w:bidi w:val="0"/>
        <w:jc w:val="both"/>
        <w:outlineLvl w:val="9"/>
        <w:rPr>
          <w:rStyle w:val="33"/>
          <w:rFonts w:hint="eastAsia"/>
          <w:b/>
          <w:bCs/>
          <w:highlight w:val="none"/>
          <w:lang w:val="en-US" w:eastAsia="zh-CN"/>
        </w:rPr>
      </w:pPr>
    </w:p>
    <w:p w14:paraId="1AB6ED4F">
      <w:pPr>
        <w:ind w:left="0" w:leftChars="0" w:firstLine="0" w:firstLineChars="0"/>
        <w:rPr>
          <w:rFonts w:hint="eastAsia" w:ascii="仿宋_GB2312" w:hAnsi="仿宋_GB2312" w:eastAsia="仿宋_GB2312" w:cs="仿宋_GB2312"/>
          <w:kern w:val="2"/>
          <w:sz w:val="24"/>
          <w:lang w:val="en-US" w:eastAsia="zh-CN" w:bidi="ar-SA"/>
        </w:rPr>
        <w:sectPr>
          <w:headerReference r:id="rId15" w:type="default"/>
          <w:footerReference r:id="rId16" w:type="default"/>
          <w:pgSz w:w="11905" w:h="16838"/>
          <w:pgMar w:top="1417" w:right="1814" w:bottom="1417" w:left="1814" w:header="850" w:footer="992" w:gutter="0"/>
          <w:pgBorders>
            <w:top w:val="none" w:sz="0" w:space="0"/>
            <w:left w:val="none" w:sz="0" w:space="0"/>
            <w:bottom w:val="none" w:sz="0" w:space="0"/>
            <w:right w:val="none" w:sz="0" w:space="0"/>
          </w:pgBorders>
          <w:cols w:space="0" w:num="1"/>
          <w:rtlGutter w:val="0"/>
          <w:docGrid w:type="linesAndChars" w:linePitch="333" w:charSpace="0"/>
        </w:sectPr>
      </w:pPr>
    </w:p>
    <w:p w14:paraId="34AE0F36">
      <w:pPr>
        <w:bidi w:val="0"/>
        <w:ind w:left="0" w:leftChars="0" w:firstLine="0" w:firstLineChars="0"/>
        <w:jc w:val="both"/>
        <w:rPr>
          <w:rFonts w:hint="eastAsia"/>
          <w:b/>
          <w:bCs/>
          <w:color w:val="auto"/>
          <w:highlight w:val="none"/>
          <w:lang w:val="en-US" w:eastAsia="zh-CN"/>
        </w:rPr>
      </w:pPr>
      <w:r>
        <w:rPr>
          <w:rFonts w:hint="eastAsia"/>
          <w:b/>
          <w:bCs/>
          <w:color w:val="auto"/>
          <w:highlight w:val="none"/>
          <w:lang w:val="en-US" w:eastAsia="zh-CN"/>
        </w:rPr>
        <w:t>6.1.1供应商营业执照复印件加盖供应商公章</w:t>
      </w:r>
      <w:r>
        <w:rPr>
          <w:rFonts w:hint="eastAsia" w:ascii="仿宋_GB2312" w:hAnsi="仿宋_GB2312" w:eastAsia="仿宋_GB2312" w:cs="Times New Roman"/>
          <w:b/>
          <w:bCs/>
          <w:color w:val="auto"/>
          <w:kern w:val="2"/>
          <w:sz w:val="24"/>
          <w:highlight w:val="none"/>
          <w:lang w:val="en-US" w:eastAsia="zh-CN" w:bidi="ar-SA"/>
        </w:rPr>
        <w:t>或投标专用章</w:t>
      </w:r>
    </w:p>
    <w:p w14:paraId="58B25060">
      <w:pPr>
        <w:pStyle w:val="24"/>
        <w:rPr>
          <w:rFonts w:hint="eastAsia"/>
          <w:b/>
          <w:bCs/>
          <w:color w:val="auto"/>
          <w:highlight w:val="none"/>
          <w:lang w:val="en-US" w:eastAsia="zh-CN"/>
        </w:rPr>
      </w:pPr>
    </w:p>
    <w:p w14:paraId="5B8262A8">
      <w:pPr>
        <w:pStyle w:val="24"/>
        <w:rPr>
          <w:rFonts w:hint="eastAsia"/>
          <w:b/>
          <w:bCs/>
          <w:color w:val="auto"/>
          <w:highlight w:val="none"/>
          <w:lang w:val="en-US" w:eastAsia="zh-CN"/>
        </w:rPr>
      </w:pPr>
    </w:p>
    <w:p w14:paraId="47ECBA18">
      <w:pPr>
        <w:pStyle w:val="24"/>
        <w:rPr>
          <w:rFonts w:hint="eastAsia"/>
          <w:b/>
          <w:bCs/>
          <w:color w:val="auto"/>
          <w:highlight w:val="none"/>
          <w:lang w:val="en-US" w:eastAsia="zh-CN"/>
        </w:rPr>
      </w:pPr>
    </w:p>
    <w:p w14:paraId="0DA60725">
      <w:pPr>
        <w:pStyle w:val="24"/>
        <w:rPr>
          <w:rFonts w:hint="eastAsia"/>
          <w:b/>
          <w:bCs/>
          <w:color w:val="auto"/>
          <w:highlight w:val="none"/>
          <w:lang w:val="en-US" w:eastAsia="zh-CN"/>
        </w:rPr>
      </w:pPr>
    </w:p>
    <w:p w14:paraId="711FFCF5">
      <w:pPr>
        <w:pStyle w:val="24"/>
        <w:rPr>
          <w:rFonts w:hint="eastAsia"/>
          <w:b/>
          <w:bCs/>
          <w:color w:val="auto"/>
          <w:highlight w:val="none"/>
          <w:lang w:val="en-US" w:eastAsia="zh-CN"/>
        </w:rPr>
      </w:pPr>
    </w:p>
    <w:p w14:paraId="7B12DECF">
      <w:pPr>
        <w:pStyle w:val="24"/>
        <w:rPr>
          <w:rFonts w:hint="eastAsia"/>
          <w:b/>
          <w:bCs/>
          <w:color w:val="auto"/>
          <w:highlight w:val="none"/>
          <w:lang w:val="en-US" w:eastAsia="zh-CN"/>
        </w:rPr>
      </w:pPr>
    </w:p>
    <w:p w14:paraId="733ACF8D">
      <w:pPr>
        <w:pStyle w:val="24"/>
        <w:rPr>
          <w:rFonts w:hint="eastAsia"/>
          <w:b/>
          <w:bCs/>
          <w:color w:val="auto"/>
          <w:highlight w:val="none"/>
          <w:lang w:val="en-US" w:eastAsia="zh-CN"/>
        </w:rPr>
      </w:pPr>
    </w:p>
    <w:p w14:paraId="4022EE94">
      <w:pPr>
        <w:pStyle w:val="24"/>
        <w:rPr>
          <w:rFonts w:hint="eastAsia"/>
          <w:b/>
          <w:bCs/>
          <w:color w:val="auto"/>
          <w:highlight w:val="none"/>
          <w:lang w:val="en-US" w:eastAsia="zh-CN"/>
        </w:rPr>
      </w:pPr>
    </w:p>
    <w:p w14:paraId="07139C58">
      <w:pPr>
        <w:pStyle w:val="24"/>
        <w:rPr>
          <w:rFonts w:hint="eastAsia"/>
          <w:b/>
          <w:bCs/>
          <w:color w:val="auto"/>
          <w:highlight w:val="none"/>
          <w:lang w:val="en-US" w:eastAsia="zh-CN"/>
        </w:rPr>
      </w:pPr>
    </w:p>
    <w:p w14:paraId="2B70C4AD">
      <w:pPr>
        <w:pStyle w:val="24"/>
        <w:rPr>
          <w:rFonts w:hint="eastAsia"/>
          <w:b/>
          <w:bCs/>
          <w:color w:val="auto"/>
          <w:highlight w:val="none"/>
          <w:lang w:val="en-US" w:eastAsia="zh-CN"/>
        </w:rPr>
      </w:pPr>
    </w:p>
    <w:p w14:paraId="68A20E7D">
      <w:pPr>
        <w:pStyle w:val="24"/>
        <w:rPr>
          <w:rFonts w:hint="eastAsia"/>
          <w:b/>
          <w:bCs/>
          <w:color w:val="auto"/>
          <w:highlight w:val="none"/>
          <w:lang w:val="en-US" w:eastAsia="zh-CN"/>
        </w:rPr>
      </w:pPr>
    </w:p>
    <w:p w14:paraId="7B913752">
      <w:pPr>
        <w:pStyle w:val="24"/>
        <w:rPr>
          <w:rFonts w:hint="eastAsia"/>
          <w:b/>
          <w:bCs/>
          <w:color w:val="auto"/>
          <w:highlight w:val="none"/>
          <w:lang w:val="en-US" w:eastAsia="zh-CN"/>
        </w:rPr>
      </w:pPr>
    </w:p>
    <w:p w14:paraId="09406C63">
      <w:pPr>
        <w:pStyle w:val="24"/>
        <w:rPr>
          <w:rFonts w:hint="eastAsia"/>
          <w:b/>
          <w:bCs/>
          <w:color w:val="auto"/>
          <w:highlight w:val="none"/>
          <w:lang w:val="en-US" w:eastAsia="zh-CN"/>
        </w:rPr>
      </w:pPr>
    </w:p>
    <w:p w14:paraId="5673F76B">
      <w:pPr>
        <w:pStyle w:val="24"/>
        <w:rPr>
          <w:rFonts w:hint="eastAsia"/>
          <w:b/>
          <w:bCs/>
          <w:color w:val="auto"/>
          <w:highlight w:val="none"/>
          <w:lang w:val="en-US" w:eastAsia="zh-CN"/>
        </w:rPr>
      </w:pPr>
    </w:p>
    <w:p w14:paraId="5D7950DB">
      <w:pPr>
        <w:pStyle w:val="24"/>
        <w:rPr>
          <w:rFonts w:hint="eastAsia"/>
          <w:b/>
          <w:bCs/>
          <w:color w:val="auto"/>
          <w:highlight w:val="none"/>
          <w:lang w:val="en-US" w:eastAsia="zh-CN"/>
        </w:rPr>
      </w:pPr>
    </w:p>
    <w:p w14:paraId="5058F18D">
      <w:pPr>
        <w:pStyle w:val="24"/>
        <w:rPr>
          <w:rFonts w:hint="eastAsia"/>
          <w:b/>
          <w:bCs/>
          <w:color w:val="auto"/>
          <w:highlight w:val="none"/>
          <w:lang w:val="en-US" w:eastAsia="zh-CN"/>
        </w:rPr>
      </w:pPr>
    </w:p>
    <w:p w14:paraId="02CF5B35">
      <w:pPr>
        <w:pStyle w:val="24"/>
        <w:rPr>
          <w:rFonts w:hint="eastAsia"/>
          <w:b/>
          <w:bCs/>
          <w:color w:val="auto"/>
          <w:highlight w:val="none"/>
          <w:lang w:val="en-US" w:eastAsia="zh-CN"/>
        </w:rPr>
      </w:pPr>
    </w:p>
    <w:p w14:paraId="48B5A0E9">
      <w:pPr>
        <w:pStyle w:val="24"/>
        <w:rPr>
          <w:rFonts w:hint="eastAsia"/>
          <w:b/>
          <w:bCs/>
          <w:color w:val="auto"/>
          <w:highlight w:val="none"/>
          <w:lang w:val="en-US" w:eastAsia="zh-CN"/>
        </w:rPr>
      </w:pPr>
    </w:p>
    <w:p w14:paraId="5F7D4109">
      <w:pPr>
        <w:pStyle w:val="24"/>
        <w:rPr>
          <w:rFonts w:hint="eastAsia"/>
          <w:b/>
          <w:bCs/>
          <w:color w:val="auto"/>
          <w:highlight w:val="none"/>
          <w:lang w:val="en-US" w:eastAsia="zh-CN"/>
        </w:rPr>
      </w:pPr>
    </w:p>
    <w:p w14:paraId="4B580F47">
      <w:pPr>
        <w:pStyle w:val="24"/>
        <w:rPr>
          <w:rFonts w:hint="eastAsia"/>
          <w:b/>
          <w:bCs/>
          <w:color w:val="auto"/>
          <w:highlight w:val="none"/>
          <w:lang w:val="en-US" w:eastAsia="zh-CN"/>
        </w:rPr>
      </w:pPr>
    </w:p>
    <w:p w14:paraId="15B3F0B9">
      <w:pPr>
        <w:pStyle w:val="24"/>
        <w:rPr>
          <w:rFonts w:hint="eastAsia"/>
          <w:b/>
          <w:bCs/>
          <w:color w:val="auto"/>
          <w:highlight w:val="none"/>
          <w:lang w:val="en-US" w:eastAsia="zh-CN"/>
        </w:rPr>
      </w:pPr>
    </w:p>
    <w:p w14:paraId="1131C4AB">
      <w:pPr>
        <w:pStyle w:val="24"/>
        <w:rPr>
          <w:rFonts w:hint="eastAsia"/>
          <w:b/>
          <w:bCs/>
          <w:color w:val="auto"/>
          <w:highlight w:val="none"/>
          <w:lang w:val="en-US" w:eastAsia="zh-CN"/>
        </w:rPr>
      </w:pPr>
    </w:p>
    <w:p w14:paraId="2DA123D3">
      <w:pPr>
        <w:pStyle w:val="24"/>
        <w:rPr>
          <w:rFonts w:hint="eastAsia"/>
          <w:b/>
          <w:bCs/>
          <w:color w:val="auto"/>
          <w:highlight w:val="none"/>
          <w:lang w:val="en-US" w:eastAsia="zh-CN"/>
        </w:rPr>
      </w:pPr>
    </w:p>
    <w:p w14:paraId="225FA427">
      <w:pPr>
        <w:pStyle w:val="24"/>
        <w:rPr>
          <w:rFonts w:hint="eastAsia"/>
          <w:b/>
          <w:bCs/>
          <w:color w:val="auto"/>
          <w:highlight w:val="none"/>
          <w:lang w:val="en-US" w:eastAsia="zh-CN"/>
        </w:rPr>
      </w:pPr>
    </w:p>
    <w:p w14:paraId="5FF62643">
      <w:pPr>
        <w:pStyle w:val="24"/>
        <w:rPr>
          <w:rFonts w:hint="eastAsia"/>
          <w:b/>
          <w:bCs/>
          <w:color w:val="auto"/>
          <w:highlight w:val="none"/>
          <w:lang w:val="en-US" w:eastAsia="zh-CN"/>
        </w:rPr>
      </w:pPr>
    </w:p>
    <w:p w14:paraId="3F77AAD4">
      <w:pPr>
        <w:pStyle w:val="24"/>
        <w:rPr>
          <w:rFonts w:hint="eastAsia"/>
          <w:b/>
          <w:bCs/>
          <w:color w:val="auto"/>
          <w:highlight w:val="none"/>
          <w:lang w:val="en-US" w:eastAsia="zh-CN"/>
        </w:rPr>
      </w:pPr>
    </w:p>
    <w:p w14:paraId="29E499F1">
      <w:pPr>
        <w:pStyle w:val="24"/>
        <w:rPr>
          <w:rFonts w:hint="eastAsia"/>
          <w:b/>
          <w:bCs/>
          <w:color w:val="auto"/>
          <w:highlight w:val="none"/>
          <w:lang w:val="en-US" w:eastAsia="zh-CN"/>
        </w:rPr>
      </w:pPr>
    </w:p>
    <w:p w14:paraId="5C6C69A5">
      <w:pPr>
        <w:jc w:val="center"/>
        <w:rPr>
          <w:rFonts w:ascii="仿宋" w:hAnsi="仿宋" w:eastAsia="仿宋" w:cs="仿宋"/>
          <w:b/>
          <w:color w:val="auto"/>
          <w:sz w:val="24"/>
          <w:szCs w:val="24"/>
          <w:highlight w:val="none"/>
        </w:rPr>
      </w:pPr>
      <w:bookmarkStart w:id="372" w:name="_Toc12925"/>
      <w:bookmarkStart w:id="373" w:name="_Toc10759"/>
      <w:bookmarkStart w:id="374" w:name="_Toc8120"/>
      <w:bookmarkStart w:id="375" w:name="_Toc16497"/>
      <w:bookmarkStart w:id="376" w:name="_Toc2864"/>
      <w:bookmarkStart w:id="377" w:name="_Toc20396"/>
      <w:bookmarkStart w:id="378" w:name="_Toc15828"/>
      <w:bookmarkStart w:id="379" w:name="_Toc28838"/>
      <w:bookmarkStart w:id="380" w:name="_Toc21015"/>
      <w:r>
        <w:rPr>
          <w:rStyle w:val="33"/>
          <w:rFonts w:hint="eastAsia"/>
          <w:b/>
          <w:bCs/>
          <w:highlight w:val="none"/>
          <w:lang w:val="en-US" w:eastAsia="zh-CN"/>
        </w:rPr>
        <w:t>格式7.磋商保证金凭证</w:t>
      </w:r>
      <w:bookmarkEnd w:id="372"/>
      <w:bookmarkEnd w:id="373"/>
      <w:bookmarkEnd w:id="374"/>
      <w:bookmarkEnd w:id="375"/>
      <w:bookmarkEnd w:id="376"/>
      <w:bookmarkEnd w:id="377"/>
      <w:bookmarkEnd w:id="378"/>
      <w:bookmarkEnd w:id="379"/>
      <w:bookmarkEnd w:id="380"/>
    </w:p>
    <w:p w14:paraId="3355D596">
      <w:pPr>
        <w:bidi w:val="0"/>
        <w:ind w:left="0" w:leftChars="0" w:firstLine="0" w:firstLineChars="0"/>
        <w:jc w:val="center"/>
        <w:rPr>
          <w:rFonts w:hint="default"/>
          <w:b/>
          <w:bCs/>
          <w:highlight w:val="none"/>
          <w:lang w:val="en-US" w:eastAsia="zh-CN"/>
        </w:rPr>
      </w:pPr>
      <w:r>
        <w:rPr>
          <w:rFonts w:hint="default"/>
          <w:b/>
          <w:bCs/>
          <w:highlight w:val="none"/>
          <w:lang w:val="en-US" w:eastAsia="zh-CN"/>
        </w:rPr>
        <w:t>（附转账凭证或电子保函，提供的资料加盖</w:t>
      </w:r>
      <w:r>
        <w:rPr>
          <w:rFonts w:hint="eastAsia"/>
          <w:b/>
          <w:bCs/>
          <w:highlight w:val="none"/>
          <w:lang w:val="en-US" w:eastAsia="zh-CN"/>
        </w:rPr>
        <w:t>供应商</w:t>
      </w:r>
      <w:r>
        <w:rPr>
          <w:rFonts w:hint="default"/>
          <w:b/>
          <w:bCs/>
          <w:highlight w:val="none"/>
          <w:lang w:val="en-US" w:eastAsia="zh-CN"/>
        </w:rPr>
        <w:t>公章</w:t>
      </w:r>
      <w:r>
        <w:rPr>
          <w:rFonts w:hint="default" w:ascii="仿宋_GB2312" w:hAnsi="仿宋_GB2312" w:eastAsia="仿宋_GB2312" w:cs="Times New Roman"/>
          <w:b/>
          <w:bCs/>
          <w:kern w:val="2"/>
          <w:sz w:val="24"/>
          <w:highlight w:val="none"/>
          <w:lang w:val="en-US" w:eastAsia="zh-CN" w:bidi="ar-SA"/>
        </w:rPr>
        <w:t>或投标专用章</w:t>
      </w:r>
      <w:r>
        <w:rPr>
          <w:rFonts w:hint="default"/>
          <w:b/>
          <w:bCs/>
          <w:highlight w:val="none"/>
          <w:lang w:val="en-US" w:eastAsia="zh-CN"/>
        </w:rPr>
        <w:t>）</w:t>
      </w:r>
    </w:p>
    <w:p w14:paraId="72622F7C">
      <w:pPr>
        <w:pStyle w:val="3"/>
        <w:numPr>
          <w:ilvl w:val="0"/>
          <w:numId w:val="0"/>
        </w:numPr>
        <w:bidi w:val="0"/>
        <w:ind w:left="0" w:leftChars="0" w:firstLine="0" w:firstLineChars="0"/>
        <w:jc w:val="center"/>
        <w:rPr>
          <w:rFonts w:hint="eastAsia"/>
          <w:color w:val="auto"/>
          <w:highlight w:val="none"/>
        </w:rPr>
      </w:pPr>
      <w:r>
        <w:rPr>
          <w:rFonts w:hint="eastAsia" w:ascii="仿宋" w:hAnsi="仿宋" w:eastAsia="仿宋" w:cs="仿宋"/>
          <w:color w:val="auto"/>
          <w:spacing w:val="-2"/>
          <w:sz w:val="24"/>
          <w:highlight w:val="none"/>
          <w:lang w:val="en-US" w:eastAsia="zh-CN"/>
        </w:rPr>
        <w:br w:type="page"/>
      </w:r>
      <w:bookmarkStart w:id="381" w:name="_Toc24086"/>
      <w:bookmarkStart w:id="382" w:name="_Toc24447"/>
      <w:bookmarkStart w:id="383" w:name="_Toc1810"/>
      <w:bookmarkStart w:id="384" w:name="_Toc12915"/>
      <w:bookmarkStart w:id="385" w:name="_Toc12100"/>
      <w:bookmarkStart w:id="386" w:name="_Toc10011"/>
      <w:bookmarkStart w:id="387" w:name="_Toc4836"/>
      <w:bookmarkStart w:id="388" w:name="_Toc17581"/>
      <w:bookmarkStart w:id="389" w:name="_Toc6356"/>
      <w:bookmarkStart w:id="390" w:name="_Toc16490"/>
      <w:r>
        <w:rPr>
          <w:rFonts w:hint="eastAsia"/>
          <w:color w:val="auto"/>
          <w:highlight w:val="none"/>
        </w:rPr>
        <w:t>格式</w:t>
      </w:r>
      <w:r>
        <w:rPr>
          <w:rFonts w:hint="eastAsia"/>
          <w:color w:val="auto"/>
          <w:highlight w:val="none"/>
          <w:lang w:val="en-US" w:eastAsia="zh-CN"/>
        </w:rPr>
        <w:t>8</w:t>
      </w:r>
      <w:r>
        <w:rPr>
          <w:rFonts w:hint="eastAsia"/>
          <w:color w:val="auto"/>
          <w:highlight w:val="none"/>
        </w:rPr>
        <w:t>.法定代表人身份证明书</w:t>
      </w:r>
      <w:bookmarkEnd w:id="381"/>
      <w:bookmarkEnd w:id="382"/>
      <w:bookmarkEnd w:id="383"/>
      <w:bookmarkEnd w:id="384"/>
      <w:bookmarkEnd w:id="385"/>
      <w:bookmarkEnd w:id="386"/>
      <w:bookmarkEnd w:id="387"/>
      <w:bookmarkEnd w:id="388"/>
      <w:bookmarkEnd w:id="389"/>
    </w:p>
    <w:p w14:paraId="65E3E035">
      <w:pPr>
        <w:bidi w:val="0"/>
        <w:rPr>
          <w:rFonts w:hint="eastAsia"/>
          <w:color w:val="auto"/>
          <w:highlight w:val="none"/>
        </w:rPr>
      </w:pPr>
      <w:r>
        <w:rPr>
          <w:rFonts w:hint="eastAsia"/>
          <w:color w:val="auto"/>
          <w:highlight w:val="none"/>
        </w:rPr>
        <w:t>单位名称：</w:t>
      </w:r>
      <w:r>
        <w:rPr>
          <w:rFonts w:hint="eastAsia"/>
          <w:color w:val="auto"/>
          <w:highlight w:val="none"/>
          <w:u w:val="single"/>
          <w:lang w:val="en-US" w:eastAsia="zh-CN"/>
        </w:rPr>
        <w:t xml:space="preserve">           </w:t>
      </w:r>
    </w:p>
    <w:p w14:paraId="4FCAD2B8">
      <w:pPr>
        <w:bidi w:val="0"/>
        <w:rPr>
          <w:rFonts w:hint="eastAsia"/>
          <w:color w:val="auto"/>
          <w:highlight w:val="none"/>
        </w:rPr>
      </w:pPr>
      <w:r>
        <w:rPr>
          <w:rFonts w:hint="eastAsia"/>
          <w:color w:val="auto"/>
          <w:highlight w:val="none"/>
        </w:rPr>
        <w:t>单位性质：</w:t>
      </w:r>
      <w:r>
        <w:rPr>
          <w:rFonts w:hint="eastAsia"/>
          <w:color w:val="auto"/>
          <w:highlight w:val="none"/>
        </w:rPr>
        <w:tab/>
      </w:r>
      <w:r>
        <w:rPr>
          <w:rFonts w:hint="eastAsia"/>
          <w:color w:val="auto"/>
          <w:highlight w:val="none"/>
          <w:u w:val="single"/>
          <w:lang w:val="en-US" w:eastAsia="zh-CN"/>
        </w:rPr>
        <w:t xml:space="preserve">             </w:t>
      </w:r>
    </w:p>
    <w:p w14:paraId="35EC243D">
      <w:pPr>
        <w:bidi w:val="0"/>
        <w:rPr>
          <w:rFonts w:hint="eastAsia"/>
          <w:color w:val="auto"/>
          <w:highlight w:val="none"/>
        </w:rPr>
      </w:pPr>
      <w:r>
        <w:rPr>
          <w:rFonts w:hint="eastAsia"/>
          <w:color w:val="auto"/>
          <w:highlight w:val="none"/>
        </w:rPr>
        <w:t>地    址：</w:t>
      </w:r>
      <w:r>
        <w:rPr>
          <w:rFonts w:hint="eastAsia"/>
          <w:color w:val="auto"/>
          <w:highlight w:val="none"/>
          <w:u w:val="single"/>
          <w:lang w:val="en-US" w:eastAsia="zh-CN"/>
        </w:rPr>
        <w:t xml:space="preserve">               </w:t>
      </w:r>
    </w:p>
    <w:p w14:paraId="1D78B159">
      <w:pPr>
        <w:bidi w:val="0"/>
        <w:rPr>
          <w:rFonts w:hint="eastAsia"/>
          <w:color w:val="auto"/>
          <w:highlight w:val="none"/>
        </w:rPr>
      </w:pPr>
      <w:r>
        <w:rPr>
          <w:rFonts w:hint="eastAsia"/>
          <w:color w:val="auto"/>
          <w:highlight w:val="none"/>
        </w:rPr>
        <w:t>成立时间：</w:t>
      </w:r>
      <w:r>
        <w:rPr>
          <w:rFonts w:hint="eastAsia"/>
          <w:color w:val="auto"/>
          <w:highlight w:val="none"/>
          <w:u w:val="single"/>
          <w:lang w:val="en-US" w:eastAsia="zh-CN"/>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72AB2181">
      <w:pPr>
        <w:bidi w:val="0"/>
        <w:rPr>
          <w:rFonts w:hint="eastAsia"/>
          <w:color w:val="auto"/>
          <w:highlight w:val="none"/>
        </w:rPr>
      </w:pPr>
      <w:r>
        <w:rPr>
          <w:rFonts w:hint="eastAsia"/>
          <w:color w:val="auto"/>
          <w:highlight w:val="none"/>
        </w:rPr>
        <w:t>经营期限：</w:t>
      </w:r>
      <w:r>
        <w:rPr>
          <w:rFonts w:hint="eastAsia"/>
          <w:color w:val="auto"/>
          <w:highlight w:val="none"/>
          <w:u w:val="single"/>
        </w:rPr>
        <w:t xml:space="preserve">                         </w:t>
      </w:r>
      <w:r>
        <w:rPr>
          <w:rFonts w:hint="eastAsia"/>
          <w:color w:val="auto"/>
          <w:highlight w:val="none"/>
        </w:rPr>
        <w:t xml:space="preserve">  </w:t>
      </w:r>
      <w:r>
        <w:rPr>
          <w:rFonts w:hint="eastAsia"/>
          <w:color w:val="auto"/>
          <w:highlight w:val="none"/>
        </w:rPr>
        <w:tab/>
      </w:r>
    </w:p>
    <w:p w14:paraId="5FFFFD58">
      <w:pPr>
        <w:bidi w:val="0"/>
        <w:rPr>
          <w:rFonts w:hint="eastAsia"/>
          <w:color w:val="auto"/>
          <w:highlight w:val="none"/>
        </w:rPr>
      </w:pPr>
      <w:r>
        <w:rPr>
          <w:rFonts w:hint="eastAsia"/>
          <w:color w:val="auto"/>
          <w:highlight w:val="none"/>
        </w:rPr>
        <w:t>姓    名：</w:t>
      </w:r>
      <w:r>
        <w:rPr>
          <w:rFonts w:hint="eastAsia"/>
          <w:color w:val="auto"/>
          <w:highlight w:val="none"/>
          <w:u w:val="single"/>
        </w:rPr>
        <w:t xml:space="preserve">             </w:t>
      </w:r>
      <w:r>
        <w:rPr>
          <w:rFonts w:hint="eastAsia"/>
          <w:color w:val="auto"/>
          <w:highlight w:val="none"/>
        </w:rPr>
        <w:t>性别：</w:t>
      </w:r>
      <w:r>
        <w:rPr>
          <w:rFonts w:hint="eastAsia"/>
          <w:color w:val="auto"/>
          <w:highlight w:val="none"/>
          <w:u w:val="single"/>
        </w:rPr>
        <w:t xml:space="preserve">            </w:t>
      </w:r>
      <w:r>
        <w:rPr>
          <w:rFonts w:hint="eastAsia"/>
          <w:color w:val="auto"/>
          <w:highlight w:val="none"/>
        </w:rPr>
        <w:t xml:space="preserve">          </w:t>
      </w:r>
    </w:p>
    <w:p w14:paraId="450F7386">
      <w:pPr>
        <w:bidi w:val="0"/>
        <w:rPr>
          <w:rFonts w:hint="eastAsia"/>
          <w:color w:val="auto"/>
          <w:highlight w:val="none"/>
        </w:rPr>
      </w:pPr>
      <w:r>
        <w:rPr>
          <w:rFonts w:hint="eastAsia"/>
          <w:color w:val="auto"/>
          <w:highlight w:val="none"/>
        </w:rPr>
        <w:t>年    龄：</w:t>
      </w:r>
      <w:r>
        <w:rPr>
          <w:rFonts w:hint="eastAsia"/>
          <w:color w:val="auto"/>
          <w:highlight w:val="none"/>
          <w:u w:val="single"/>
        </w:rPr>
        <w:t xml:space="preserve">             </w:t>
      </w:r>
      <w:r>
        <w:rPr>
          <w:rFonts w:hint="eastAsia"/>
          <w:color w:val="auto"/>
          <w:highlight w:val="none"/>
        </w:rPr>
        <w:t>职务：</w:t>
      </w:r>
      <w:r>
        <w:rPr>
          <w:rFonts w:hint="eastAsia"/>
          <w:color w:val="auto"/>
          <w:highlight w:val="none"/>
          <w:u w:val="single"/>
        </w:rPr>
        <w:t xml:space="preserve">              </w:t>
      </w:r>
      <w:r>
        <w:rPr>
          <w:rFonts w:hint="eastAsia"/>
          <w:color w:val="auto"/>
          <w:highlight w:val="none"/>
        </w:rPr>
        <w:t xml:space="preserve">             </w:t>
      </w:r>
      <w:r>
        <w:rPr>
          <w:rFonts w:hint="eastAsia"/>
          <w:color w:val="auto"/>
          <w:highlight w:val="none"/>
        </w:rPr>
        <w:tab/>
      </w:r>
    </w:p>
    <w:p w14:paraId="4DC4FA9F">
      <w:pPr>
        <w:bidi w:val="0"/>
        <w:rPr>
          <w:rFonts w:hint="eastAsia"/>
          <w:color w:val="auto"/>
          <w:highlight w:val="none"/>
        </w:rPr>
      </w:pPr>
      <w:r>
        <w:rPr>
          <w:rFonts w:hint="eastAsia"/>
          <w:color w:val="auto"/>
          <w:highlight w:val="none"/>
        </w:rPr>
        <w:t>系</w:t>
      </w:r>
      <w:r>
        <w:rPr>
          <w:rFonts w:hint="eastAsia"/>
          <w:color w:val="auto"/>
          <w:highlight w:val="none"/>
          <w:u w:val="single"/>
        </w:rPr>
        <w:t xml:space="preserve">          （</w:t>
      </w:r>
      <w:r>
        <w:rPr>
          <w:rFonts w:hint="eastAsia"/>
          <w:color w:val="auto"/>
          <w:highlight w:val="none"/>
          <w:u w:val="single"/>
          <w:lang w:eastAsia="zh-CN"/>
        </w:rPr>
        <w:t>供应商</w:t>
      </w:r>
      <w:r>
        <w:rPr>
          <w:rFonts w:hint="eastAsia"/>
          <w:color w:val="auto"/>
          <w:highlight w:val="none"/>
          <w:u w:val="single"/>
        </w:rPr>
        <w:t xml:space="preserve">单位名称）         </w:t>
      </w:r>
      <w:r>
        <w:rPr>
          <w:rFonts w:hint="eastAsia"/>
          <w:color w:val="auto"/>
          <w:highlight w:val="none"/>
        </w:rPr>
        <w:t>的法定代表人。</w:t>
      </w:r>
    </w:p>
    <w:p w14:paraId="29449E05">
      <w:pPr>
        <w:bidi w:val="0"/>
        <w:rPr>
          <w:rFonts w:hint="eastAsia"/>
          <w:color w:val="auto"/>
          <w:highlight w:val="none"/>
        </w:rPr>
      </w:pPr>
      <w:r>
        <w:rPr>
          <w:rFonts w:hint="eastAsia"/>
          <w:color w:val="auto"/>
          <w:highlight w:val="none"/>
        </w:rPr>
        <w:t>特此证明。</w:t>
      </w:r>
    </w:p>
    <w:p w14:paraId="23E97DD1">
      <w:pPr>
        <w:bidi w:val="0"/>
        <w:rPr>
          <w:rFonts w:hint="eastAsia"/>
          <w:color w:val="auto"/>
          <w:highlight w:val="none"/>
        </w:rPr>
      </w:pPr>
      <w:r>
        <w:rPr>
          <w:rFonts w:hint="eastAsia"/>
          <w:color w:val="auto"/>
          <w:highlight w:val="none"/>
        </w:rPr>
        <w:t>法定代表人身份证正面</w:t>
      </w:r>
      <w:r>
        <w:rPr>
          <w:rFonts w:hint="eastAsia"/>
          <w:color w:val="auto"/>
          <w:highlight w:val="none"/>
        </w:rPr>
        <w:tab/>
      </w:r>
      <w:r>
        <w:rPr>
          <w:rFonts w:hint="eastAsia"/>
          <w:color w:val="auto"/>
          <w:highlight w:val="none"/>
        </w:rPr>
        <w:t>法定代表人身份证反面</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6"/>
        <w:gridCol w:w="4247"/>
      </w:tblGrid>
      <w:tr w14:paraId="1C0D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trPr>
        <w:tc>
          <w:tcPr>
            <w:tcW w:w="4530" w:type="dxa"/>
            <w:noWrap w:val="0"/>
            <w:vAlign w:val="center"/>
          </w:tcPr>
          <w:p w14:paraId="26D31626">
            <w:pPr>
              <w:spacing w:beforeLines="20" w:after="0" w:afterLines="20" w:line="540" w:lineRule="exact"/>
              <w:ind w:firstLine="0" w:firstLineChars="0"/>
              <w:jc w:val="center"/>
              <w:rPr>
                <w:rFonts w:hAnsi="宋体"/>
                <w:color w:val="auto"/>
                <w:highlight w:val="none"/>
              </w:rPr>
            </w:pPr>
            <w:r>
              <w:rPr>
                <w:rFonts w:hint="eastAsia" w:hAnsi="宋体"/>
                <w:color w:val="auto"/>
                <w:highlight w:val="none"/>
              </w:rPr>
              <w:t>法定代表人身份证</w:t>
            </w:r>
          </w:p>
        </w:tc>
        <w:tc>
          <w:tcPr>
            <w:tcW w:w="4531" w:type="dxa"/>
            <w:noWrap w:val="0"/>
            <w:vAlign w:val="center"/>
          </w:tcPr>
          <w:p w14:paraId="162E43E2">
            <w:pPr>
              <w:spacing w:beforeLines="20" w:after="0" w:afterLines="20" w:line="540" w:lineRule="exact"/>
              <w:ind w:firstLine="0" w:firstLineChars="0"/>
              <w:jc w:val="center"/>
              <w:rPr>
                <w:rFonts w:hAnsi="宋体"/>
                <w:color w:val="auto"/>
                <w:highlight w:val="none"/>
              </w:rPr>
            </w:pPr>
            <w:r>
              <w:rPr>
                <w:rFonts w:hint="eastAsia" w:hAnsi="宋体"/>
                <w:color w:val="auto"/>
                <w:highlight w:val="none"/>
              </w:rPr>
              <w:t>法定代表人身份证</w:t>
            </w:r>
          </w:p>
        </w:tc>
      </w:tr>
    </w:tbl>
    <w:p w14:paraId="38681FEC">
      <w:pPr>
        <w:bidi w:val="0"/>
        <w:rPr>
          <w:rFonts w:hint="eastAsia"/>
          <w:color w:val="auto"/>
          <w:highlight w:val="none"/>
        </w:rPr>
      </w:pPr>
    </w:p>
    <w:p w14:paraId="05CDF99C">
      <w:pPr>
        <w:bidi w:val="0"/>
        <w:rPr>
          <w:rFonts w:hint="eastAsia"/>
          <w:color w:val="auto"/>
          <w:highlight w:val="none"/>
          <w:u w:val="single"/>
        </w:rPr>
      </w:pPr>
      <w:r>
        <w:rPr>
          <w:rFonts w:hint="eastAsia"/>
          <w:color w:val="auto"/>
          <w:highlight w:val="none"/>
          <w:lang w:eastAsia="zh-CN"/>
        </w:rPr>
        <w:t>供应商</w:t>
      </w:r>
      <w:r>
        <w:rPr>
          <w:rFonts w:hint="eastAsia"/>
          <w:color w:val="auto"/>
          <w:highlight w:val="none"/>
        </w:rPr>
        <w:t>：</w:t>
      </w:r>
      <w:r>
        <w:rPr>
          <w:rFonts w:hint="eastAsia"/>
          <w:color w:val="auto"/>
          <w:highlight w:val="none"/>
          <w:u w:val="single"/>
        </w:rPr>
        <w:t xml:space="preserve">  （公章</w:t>
      </w:r>
      <w:r>
        <w:rPr>
          <w:rFonts w:hint="eastAsia" w:ascii="仿宋_GB2312" w:hAnsi="仿宋_GB2312" w:eastAsia="仿宋_GB2312" w:cs="Times New Roman"/>
          <w:b w:val="0"/>
          <w:bCs w:val="0"/>
          <w:color w:val="auto"/>
          <w:kern w:val="2"/>
          <w:sz w:val="24"/>
          <w:highlight w:val="none"/>
          <w:u w:val="single"/>
          <w:lang w:val="en-US" w:eastAsia="zh-CN" w:bidi="ar-SA"/>
        </w:rPr>
        <w:t>或投标专用章</w:t>
      </w:r>
      <w:r>
        <w:rPr>
          <w:rFonts w:hint="eastAsia"/>
          <w:color w:val="auto"/>
          <w:highlight w:val="none"/>
          <w:u w:val="single"/>
        </w:rPr>
        <w:t>）</w:t>
      </w:r>
    </w:p>
    <w:p w14:paraId="20E2D92D">
      <w:pPr>
        <w:bidi w:val="0"/>
        <w:rPr>
          <w:rFonts w:hint="eastAsia"/>
          <w:color w:val="auto"/>
          <w:highlight w:val="none"/>
        </w:rPr>
      </w:pPr>
    </w:p>
    <w:p w14:paraId="68C8AA80">
      <w:pPr>
        <w:bidi w:val="0"/>
        <w:rPr>
          <w:rFonts w:hint="eastAsia"/>
          <w:color w:val="auto"/>
          <w:highlight w:val="none"/>
        </w:rPr>
      </w:pPr>
      <w:r>
        <w:rPr>
          <w:rFonts w:hint="eastAsia"/>
          <w:color w:val="auto"/>
          <w:highlight w:val="none"/>
        </w:rPr>
        <w:t>日  期：</w:t>
      </w:r>
      <w:r>
        <w:rPr>
          <w:rFonts w:hint="eastAsia"/>
          <w:color w:val="auto"/>
          <w:highlight w:val="none"/>
          <w:u w:val="single"/>
          <w:lang w:val="en-US" w:eastAsia="zh-CN"/>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日</w:t>
      </w:r>
    </w:p>
    <w:p w14:paraId="6D368DFD">
      <w:pPr>
        <w:pStyle w:val="3"/>
        <w:numPr>
          <w:ilvl w:val="0"/>
          <w:numId w:val="0"/>
        </w:numPr>
        <w:bidi w:val="0"/>
        <w:jc w:val="center"/>
        <w:rPr>
          <w:rFonts w:hint="eastAsia" w:ascii="仿宋" w:hAnsi="仿宋" w:eastAsia="仿宋" w:cs="仿宋"/>
          <w:color w:val="auto"/>
          <w:spacing w:val="-2"/>
          <w:sz w:val="24"/>
          <w:highlight w:val="none"/>
          <w:lang w:val="en-US" w:eastAsia="zh-CN"/>
        </w:rPr>
        <w:sectPr>
          <w:pgSz w:w="11905" w:h="16838"/>
          <w:pgMar w:top="1417" w:right="1814" w:bottom="1417" w:left="1814" w:header="850" w:footer="992" w:gutter="0"/>
          <w:pgBorders>
            <w:top w:val="none" w:sz="0" w:space="0"/>
            <w:left w:val="none" w:sz="0" w:space="0"/>
            <w:bottom w:val="none" w:sz="0" w:space="0"/>
            <w:right w:val="none" w:sz="0" w:space="0"/>
          </w:pgBorders>
          <w:pgNumType w:fmt="decimal"/>
          <w:cols w:space="0" w:num="1"/>
          <w:rtlGutter w:val="0"/>
          <w:docGrid w:type="linesAndChars" w:linePitch="333" w:charSpace="0"/>
        </w:sectPr>
      </w:pPr>
    </w:p>
    <w:p w14:paraId="68BA32C1">
      <w:pPr>
        <w:pStyle w:val="3"/>
        <w:numPr>
          <w:ilvl w:val="0"/>
          <w:numId w:val="0"/>
        </w:numPr>
        <w:bidi w:val="0"/>
        <w:jc w:val="center"/>
        <w:rPr>
          <w:rFonts w:ascii="仿宋" w:hAnsi="仿宋" w:eastAsia="仿宋" w:cs="仿宋"/>
          <w:color w:val="auto"/>
          <w:sz w:val="24"/>
          <w:highlight w:val="none"/>
        </w:rPr>
      </w:pPr>
      <w:bookmarkStart w:id="391" w:name="_Toc23642"/>
      <w:bookmarkStart w:id="392" w:name="_Toc27433"/>
      <w:bookmarkStart w:id="393" w:name="_Toc29168"/>
      <w:bookmarkStart w:id="394" w:name="_Toc10199"/>
      <w:bookmarkStart w:id="395" w:name="_Toc4175"/>
      <w:bookmarkStart w:id="396" w:name="_Toc17241"/>
      <w:bookmarkStart w:id="397" w:name="_Toc14720"/>
      <w:bookmarkStart w:id="398" w:name="_Toc27525"/>
      <w:r>
        <w:rPr>
          <w:rStyle w:val="33"/>
          <w:rFonts w:hint="eastAsia"/>
          <w:b/>
          <w:bCs/>
          <w:highlight w:val="none"/>
          <w:lang w:val="en-US" w:eastAsia="zh-CN"/>
        </w:rPr>
        <w:t>格式9.法定代表人授权书</w:t>
      </w:r>
      <w:bookmarkEnd w:id="390"/>
      <w:bookmarkEnd w:id="391"/>
      <w:bookmarkEnd w:id="392"/>
      <w:bookmarkEnd w:id="393"/>
      <w:bookmarkEnd w:id="394"/>
      <w:bookmarkEnd w:id="395"/>
      <w:bookmarkEnd w:id="396"/>
      <w:bookmarkEnd w:id="397"/>
      <w:bookmarkEnd w:id="398"/>
    </w:p>
    <w:p w14:paraId="0CB16E80">
      <w:pPr>
        <w:ind w:firstLine="640"/>
        <w:rPr>
          <w:color w:val="auto"/>
          <w:sz w:val="28"/>
          <w:szCs w:val="28"/>
          <w:highlight w:val="none"/>
        </w:rPr>
      </w:pPr>
      <w:r>
        <w:rPr>
          <w:rFonts w:hint="eastAsia"/>
          <w:color w:val="auto"/>
          <w:highlight w:val="none"/>
        </w:rPr>
        <w:t>本授权委托书声明：我</w:t>
      </w:r>
      <w:r>
        <w:rPr>
          <w:rFonts w:hint="eastAsia"/>
          <w:color w:val="auto"/>
          <w:highlight w:val="none"/>
          <w:u w:val="single"/>
        </w:rPr>
        <w:t>（</w:t>
      </w:r>
      <w:r>
        <w:rPr>
          <w:rFonts w:hint="eastAsia"/>
          <w:color w:val="auto"/>
          <w:highlight w:val="none"/>
          <w:u w:val="single"/>
          <w:lang w:eastAsia="zh-CN"/>
        </w:rPr>
        <w:t>法定代表人</w:t>
      </w:r>
      <w:r>
        <w:rPr>
          <w:rFonts w:hint="eastAsia"/>
          <w:color w:val="auto"/>
          <w:highlight w:val="none"/>
          <w:u w:val="single"/>
        </w:rPr>
        <w:t xml:space="preserve">姓名）   </w:t>
      </w:r>
      <w:r>
        <w:rPr>
          <w:rFonts w:hint="eastAsia"/>
          <w:color w:val="auto"/>
          <w:highlight w:val="none"/>
        </w:rPr>
        <w:t xml:space="preserve">系 </w:t>
      </w:r>
      <w:r>
        <w:rPr>
          <w:rFonts w:hint="eastAsia"/>
          <w:color w:val="auto"/>
          <w:highlight w:val="none"/>
          <w:u w:val="single"/>
        </w:rPr>
        <w:t>（</w:t>
      </w:r>
      <w:r>
        <w:rPr>
          <w:rFonts w:hint="eastAsia"/>
          <w:color w:val="auto"/>
          <w:highlight w:val="none"/>
          <w:u w:val="single"/>
          <w:lang w:val="en-US" w:eastAsia="zh-CN"/>
        </w:rPr>
        <w:t>供应商</w:t>
      </w:r>
      <w:r>
        <w:rPr>
          <w:rFonts w:hint="eastAsia"/>
          <w:color w:val="auto"/>
          <w:highlight w:val="none"/>
          <w:u w:val="single"/>
        </w:rPr>
        <w:t>名称）</w:t>
      </w:r>
      <w:r>
        <w:rPr>
          <w:rFonts w:hint="eastAsia"/>
          <w:color w:val="auto"/>
          <w:highlight w:val="none"/>
        </w:rPr>
        <w:t xml:space="preserve">的法定代表人，现授权委托 </w:t>
      </w:r>
      <w:r>
        <w:rPr>
          <w:rFonts w:hint="eastAsia"/>
          <w:color w:val="auto"/>
          <w:highlight w:val="none"/>
          <w:u w:val="single"/>
        </w:rPr>
        <w:t xml:space="preserve">    （</w:t>
      </w:r>
      <w:r>
        <w:rPr>
          <w:rFonts w:hint="eastAsia"/>
          <w:color w:val="auto"/>
          <w:highlight w:val="none"/>
          <w:u w:val="single"/>
          <w:lang w:val="en-US" w:eastAsia="zh-CN"/>
        </w:rPr>
        <w:t>供应商</w:t>
      </w:r>
      <w:r>
        <w:rPr>
          <w:rFonts w:hint="eastAsia"/>
          <w:color w:val="auto"/>
          <w:highlight w:val="none"/>
          <w:u w:val="single"/>
        </w:rPr>
        <w:t>名称）</w:t>
      </w:r>
      <w:r>
        <w:rPr>
          <w:rFonts w:hint="eastAsia"/>
          <w:color w:val="auto"/>
          <w:highlight w:val="none"/>
        </w:rPr>
        <w:t xml:space="preserve">  的 </w:t>
      </w:r>
      <w:r>
        <w:rPr>
          <w:rFonts w:hint="eastAsia"/>
          <w:color w:val="auto"/>
          <w:highlight w:val="none"/>
          <w:u w:val="single"/>
        </w:rPr>
        <w:t xml:space="preserve">   （被授权人姓名） </w:t>
      </w:r>
      <w:r>
        <w:rPr>
          <w:rFonts w:hint="eastAsia"/>
          <w:color w:val="auto"/>
          <w:highlight w:val="none"/>
        </w:rPr>
        <w:t>为我公司的合法代理人，就</w:t>
      </w:r>
      <w:r>
        <w:rPr>
          <w:rFonts w:hint="eastAsia"/>
          <w:bCs/>
          <w:color w:val="auto"/>
          <w:szCs w:val="21"/>
          <w:highlight w:val="none"/>
          <w:u w:val="single"/>
        </w:rPr>
        <w:t xml:space="preserve">       </w:t>
      </w:r>
      <w:r>
        <w:rPr>
          <w:rFonts w:hint="eastAsia"/>
          <w:color w:val="auto"/>
          <w:highlight w:val="none"/>
          <w:u w:val="single"/>
        </w:rPr>
        <w:t>（</w:t>
      </w:r>
      <w:r>
        <w:rPr>
          <w:rFonts w:hint="eastAsia"/>
          <w:color w:val="auto"/>
          <w:highlight w:val="none"/>
          <w:u w:val="single"/>
          <w:lang w:val="en-US" w:eastAsia="zh-CN"/>
        </w:rPr>
        <w:t>磋商</w:t>
      </w:r>
      <w:r>
        <w:rPr>
          <w:rFonts w:hint="eastAsia"/>
          <w:color w:val="auto"/>
          <w:highlight w:val="none"/>
          <w:u w:val="single"/>
        </w:rPr>
        <w:t>项目名称）</w:t>
      </w:r>
      <w:r>
        <w:rPr>
          <w:rFonts w:hint="eastAsia"/>
          <w:color w:val="auto"/>
          <w:highlight w:val="none"/>
        </w:rPr>
        <w:t>的投标、合同签订、资金支付等，以本公司的名义签署</w:t>
      </w:r>
      <w:r>
        <w:rPr>
          <w:rFonts w:hint="eastAsia"/>
          <w:color w:val="auto"/>
          <w:highlight w:val="none"/>
          <w:lang w:val="en-US" w:eastAsia="zh-CN"/>
        </w:rPr>
        <w:t>响应</w:t>
      </w:r>
      <w:r>
        <w:rPr>
          <w:rFonts w:hint="eastAsia"/>
          <w:color w:val="auto"/>
          <w:highlight w:val="none"/>
        </w:rPr>
        <w:t>文件、解释</w:t>
      </w:r>
      <w:r>
        <w:rPr>
          <w:rFonts w:hint="eastAsia"/>
          <w:color w:val="auto"/>
          <w:highlight w:val="none"/>
          <w:lang w:val="en-US" w:eastAsia="zh-CN"/>
        </w:rPr>
        <w:t>响应</w:t>
      </w:r>
      <w:r>
        <w:rPr>
          <w:rFonts w:hint="eastAsia"/>
          <w:color w:val="auto"/>
          <w:highlight w:val="none"/>
        </w:rPr>
        <w:t>文件、进行</w:t>
      </w:r>
      <w:r>
        <w:rPr>
          <w:rFonts w:hint="eastAsia"/>
          <w:color w:val="auto"/>
          <w:highlight w:val="none"/>
          <w:lang w:val="en-US" w:eastAsia="zh-CN"/>
        </w:rPr>
        <w:t>磋商</w:t>
      </w:r>
      <w:r>
        <w:rPr>
          <w:rFonts w:hint="eastAsia"/>
          <w:color w:val="auto"/>
          <w:highlight w:val="none"/>
        </w:rPr>
        <w:t>、签署合同和处理与之有关的一切事宜。</w:t>
      </w:r>
    </w:p>
    <w:p w14:paraId="6878FDCA">
      <w:pPr>
        <w:ind w:firstLine="640"/>
        <w:rPr>
          <w:color w:val="auto"/>
          <w:highlight w:val="none"/>
        </w:rPr>
      </w:pPr>
      <w:r>
        <w:rPr>
          <w:rFonts w:hint="eastAsia"/>
          <w:color w:val="auto"/>
          <w:highlight w:val="none"/>
        </w:rPr>
        <w:t>代理人无转委托权，特此委托。</w:t>
      </w:r>
    </w:p>
    <w:p w14:paraId="5028B9E4">
      <w:pPr>
        <w:ind w:firstLine="640"/>
        <w:rPr>
          <w:rFonts w:hint="eastAsia"/>
          <w:color w:val="auto"/>
          <w:highlight w:val="none"/>
        </w:rPr>
      </w:pPr>
    </w:p>
    <w:p w14:paraId="0AACC984">
      <w:pPr>
        <w:ind w:firstLine="640"/>
        <w:rPr>
          <w:rFonts w:hint="default" w:eastAsia="仿宋_GB2312"/>
          <w:color w:val="auto"/>
          <w:highlight w:val="none"/>
          <w:u w:val="single"/>
          <w:lang w:val="en-US" w:eastAsia="zh-CN"/>
        </w:rPr>
      </w:pPr>
      <w:r>
        <w:rPr>
          <w:rFonts w:hint="eastAsia"/>
          <w:color w:val="auto"/>
          <w:highlight w:val="none"/>
        </w:rPr>
        <w:t>代理人：</w:t>
      </w:r>
      <w:r>
        <w:rPr>
          <w:rFonts w:hint="eastAsia"/>
          <w:color w:val="auto"/>
          <w:highlight w:val="none"/>
          <w:u w:val="single"/>
        </w:rPr>
        <w:t xml:space="preserve"> （手写签字）  </w:t>
      </w:r>
      <w:r>
        <w:rPr>
          <w:rFonts w:hint="eastAsia"/>
          <w:color w:val="auto"/>
          <w:highlight w:val="none"/>
        </w:rPr>
        <w:t>性别 ：</w:t>
      </w:r>
      <w:r>
        <w:rPr>
          <w:rFonts w:hint="eastAsia"/>
          <w:color w:val="auto"/>
          <w:highlight w:val="none"/>
          <w:u w:val="single"/>
        </w:rPr>
        <w:t xml:space="preserve">           </w:t>
      </w:r>
      <w:r>
        <w:rPr>
          <w:rFonts w:hint="eastAsia"/>
          <w:color w:val="auto"/>
          <w:highlight w:val="none"/>
        </w:rPr>
        <w:t xml:space="preserve"> 年龄：</w:t>
      </w:r>
      <w:r>
        <w:rPr>
          <w:rFonts w:hint="eastAsia"/>
          <w:color w:val="auto"/>
          <w:highlight w:val="none"/>
          <w:u w:val="single"/>
          <w:lang w:val="en-US" w:eastAsia="zh-CN"/>
        </w:rPr>
        <w:t xml:space="preserve">             </w:t>
      </w:r>
    </w:p>
    <w:p w14:paraId="3577DDF5">
      <w:pPr>
        <w:ind w:firstLine="640"/>
        <w:rPr>
          <w:rFonts w:hint="eastAsia"/>
          <w:color w:val="auto"/>
          <w:highlight w:val="none"/>
        </w:rPr>
      </w:pPr>
    </w:p>
    <w:p w14:paraId="0346A808">
      <w:pPr>
        <w:ind w:firstLine="640"/>
        <w:rPr>
          <w:rFonts w:hint="default" w:eastAsia="仿宋_GB2312"/>
          <w:color w:val="auto"/>
          <w:highlight w:val="none"/>
          <w:u w:val="single"/>
          <w:lang w:val="en-US" w:eastAsia="zh-CN"/>
        </w:rPr>
      </w:pPr>
      <w:r>
        <w:rPr>
          <w:rFonts w:hint="eastAsia"/>
          <w:color w:val="auto"/>
          <w:highlight w:val="none"/>
        </w:rPr>
        <w:t>身份证号码：</w:t>
      </w:r>
      <w:r>
        <w:rPr>
          <w:rFonts w:hint="eastAsia"/>
          <w:color w:val="auto"/>
          <w:highlight w:val="none"/>
          <w:u w:val="single"/>
        </w:rPr>
        <w:t xml:space="preserve">                     </w:t>
      </w:r>
      <w:r>
        <w:rPr>
          <w:rFonts w:hint="eastAsia"/>
          <w:color w:val="auto"/>
          <w:highlight w:val="none"/>
        </w:rPr>
        <w:t xml:space="preserve">  职务：</w:t>
      </w:r>
      <w:r>
        <w:rPr>
          <w:rFonts w:hint="eastAsia"/>
          <w:color w:val="auto"/>
          <w:highlight w:val="none"/>
          <w:u w:val="single"/>
          <w:lang w:val="en-US" w:eastAsia="zh-CN"/>
        </w:rPr>
        <w:t xml:space="preserve">              </w:t>
      </w:r>
    </w:p>
    <w:p w14:paraId="329FB7C8">
      <w:pPr>
        <w:ind w:firstLine="640"/>
        <w:rPr>
          <w:rFonts w:hint="eastAsia"/>
          <w:color w:val="auto"/>
          <w:highlight w:val="none"/>
        </w:rPr>
      </w:pPr>
    </w:p>
    <w:p w14:paraId="718BCFCD">
      <w:pPr>
        <w:bidi w:val="0"/>
        <w:ind w:firstLine="960" w:firstLineChars="400"/>
        <w:jc w:val="both"/>
        <w:rPr>
          <w:rFonts w:hint="eastAsia" w:ascii="Times New Roman" w:hAnsi="Times New Roman" w:cs="Times New Roman"/>
          <w:color w:val="auto"/>
          <w:highlight w:val="none"/>
          <w:u w:val="single"/>
          <w:lang w:val="en-US" w:eastAsia="zh-CN"/>
        </w:rPr>
      </w:pPr>
      <w:r>
        <w:rPr>
          <w:rFonts w:hint="eastAsia"/>
          <w:color w:val="auto"/>
          <w:highlight w:val="none"/>
          <w:lang w:val="en-US" w:eastAsia="zh-CN"/>
        </w:rPr>
        <w:t>供  应  商</w:t>
      </w:r>
      <w:r>
        <w:rPr>
          <w:rFonts w:hint="eastAsia"/>
          <w:color w:val="auto"/>
          <w:highlight w:val="none"/>
        </w:rPr>
        <w:t>：</w:t>
      </w:r>
      <w:r>
        <w:rPr>
          <w:rFonts w:hint="eastAsia"/>
          <w:color w:val="auto"/>
          <w:highlight w:val="none"/>
          <w:u w:val="single"/>
        </w:rPr>
        <w:t xml:space="preserve">                          </w:t>
      </w:r>
      <w:r>
        <w:rPr>
          <w:rFonts w:hint="eastAsia" w:ascii="Times New Roman" w:hAnsi="Times New Roman" w:cs="Times New Roman"/>
          <w:color w:val="auto"/>
          <w:highlight w:val="none"/>
          <w:u w:val="single"/>
          <w:lang w:val="en-US" w:eastAsia="zh-CN"/>
        </w:rPr>
        <w:t>（公章或投标专用章）</w:t>
      </w:r>
    </w:p>
    <w:p w14:paraId="4525BB01">
      <w:pPr>
        <w:ind w:firstLine="640"/>
        <w:rPr>
          <w:color w:val="auto"/>
          <w:highlight w:val="none"/>
        </w:rPr>
      </w:pPr>
    </w:p>
    <w:p w14:paraId="1C6547E6">
      <w:pPr>
        <w:ind w:firstLine="640"/>
        <w:rPr>
          <w:rFonts w:hint="eastAsia"/>
          <w:color w:val="auto"/>
          <w:highlight w:val="none"/>
        </w:rPr>
      </w:pPr>
    </w:p>
    <w:p w14:paraId="55426EF5">
      <w:pPr>
        <w:ind w:firstLine="640"/>
        <w:rPr>
          <w:color w:val="auto"/>
          <w:highlight w:val="none"/>
        </w:rPr>
      </w:pPr>
      <w:r>
        <w:rPr>
          <w:rFonts w:hint="eastAsia"/>
          <w:color w:val="auto"/>
          <w:highlight w:val="none"/>
        </w:rPr>
        <w:t>法定代表人：</w:t>
      </w:r>
      <w:r>
        <w:rPr>
          <w:rFonts w:hint="eastAsia"/>
          <w:color w:val="auto"/>
          <w:highlight w:val="none"/>
          <w:u w:val="single"/>
        </w:rPr>
        <w:t xml:space="preserve">                           （</w:t>
      </w:r>
      <w:r>
        <w:rPr>
          <w:rFonts w:hint="eastAsia"/>
          <w:color w:val="auto"/>
          <w:highlight w:val="none"/>
          <w:u w:val="single"/>
          <w:lang w:val="en-US" w:eastAsia="zh-CN"/>
        </w:rPr>
        <w:t>手写</w:t>
      </w:r>
      <w:r>
        <w:rPr>
          <w:rFonts w:hint="eastAsia"/>
          <w:color w:val="auto"/>
          <w:highlight w:val="none"/>
          <w:u w:val="single"/>
        </w:rPr>
        <w:t>签字或盖章</w:t>
      </w:r>
      <w:r>
        <w:rPr>
          <w:rFonts w:hint="eastAsia"/>
          <w:color w:val="auto"/>
          <w:highlight w:val="none"/>
        </w:rPr>
        <w:t>）</w:t>
      </w:r>
    </w:p>
    <w:p w14:paraId="12F2DC0D">
      <w:pPr>
        <w:tabs>
          <w:tab w:val="left" w:pos="720"/>
          <w:tab w:val="left" w:pos="900"/>
        </w:tabs>
        <w:spacing w:beforeLines="20" w:afterLines="20" w:line="540" w:lineRule="exact"/>
        <w:ind w:firstLine="640"/>
        <w:rPr>
          <w:rFonts w:hAnsi="宋体"/>
          <w:color w:val="auto"/>
          <w:highlight w:val="none"/>
        </w:rPr>
      </w:pPr>
      <w:r>
        <w:rPr>
          <w:rFonts w:hint="eastAsia" w:hAnsi="宋体"/>
          <w:color w:val="auto"/>
          <w:highlight w:val="none"/>
        </w:rPr>
        <w:t>（附代理人身份证及法定代表人身份证正反面影印件）</w:t>
      </w:r>
    </w:p>
    <w:p w14:paraId="169E13DB">
      <w:pPr>
        <w:autoSpaceDE w:val="0"/>
        <w:autoSpaceDN w:val="0"/>
        <w:ind w:firstLine="640"/>
        <w:jc w:val="center"/>
        <w:rPr>
          <w:rFonts w:hAnsi="宋体" w:cs="Courier New"/>
          <w:color w:val="auto"/>
          <w:highlight w:val="none"/>
        </w:rPr>
      </w:pPr>
      <w:r>
        <w:rPr>
          <w:rFonts w:hint="eastAsia" w:hAnsi="宋体" w:cs="Courier New"/>
          <w:color w:val="auto"/>
          <w:highlight w:val="none"/>
        </w:rPr>
        <w:t>授权委托日期：     年     月     日</w:t>
      </w:r>
    </w:p>
    <w:p w14:paraId="0FBDB6FE">
      <w:pPr>
        <w:ind w:firstLine="0" w:firstLineChars="0"/>
        <w:rPr>
          <w:b/>
          <w:color w:val="auto"/>
          <w:sz w:val="24"/>
          <w:szCs w:val="24"/>
          <w:highlight w:val="none"/>
        </w:rPr>
      </w:pPr>
      <w:r>
        <w:rPr>
          <w:rFonts w:hint="eastAsia"/>
          <w:b/>
          <w:color w:val="auto"/>
          <w:sz w:val="24"/>
          <w:szCs w:val="24"/>
          <w:highlight w:val="none"/>
        </w:rPr>
        <w:t>注：法定代表人参加</w:t>
      </w:r>
      <w:r>
        <w:rPr>
          <w:rFonts w:hint="eastAsia"/>
          <w:b/>
          <w:color w:val="auto"/>
          <w:sz w:val="24"/>
          <w:szCs w:val="24"/>
          <w:highlight w:val="none"/>
          <w:lang w:val="en-US" w:eastAsia="zh-CN"/>
        </w:rPr>
        <w:t>投标的</w:t>
      </w:r>
      <w:r>
        <w:rPr>
          <w:rFonts w:hint="eastAsia"/>
          <w:b/>
          <w:color w:val="auto"/>
          <w:sz w:val="24"/>
          <w:szCs w:val="24"/>
          <w:highlight w:val="none"/>
        </w:rPr>
        <w:t>，不用提供授权委托书。</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6"/>
        <w:gridCol w:w="4247"/>
      </w:tblGrid>
      <w:tr w14:paraId="61C8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trPr>
        <w:tc>
          <w:tcPr>
            <w:tcW w:w="4981" w:type="dxa"/>
            <w:noWrap w:val="0"/>
            <w:vAlign w:val="center"/>
          </w:tcPr>
          <w:p w14:paraId="3BE49A8B">
            <w:pPr>
              <w:spacing w:beforeLines="20" w:after="0" w:afterLines="20" w:line="540" w:lineRule="exact"/>
              <w:ind w:firstLine="0" w:firstLineChars="0"/>
              <w:jc w:val="center"/>
              <w:rPr>
                <w:rFonts w:hAnsi="宋体"/>
                <w:color w:val="auto"/>
                <w:highlight w:val="none"/>
              </w:rPr>
            </w:pPr>
            <w:r>
              <w:rPr>
                <w:rFonts w:hint="eastAsia" w:hAnsi="宋体"/>
                <w:color w:val="auto"/>
                <w:highlight w:val="none"/>
              </w:rPr>
              <w:t>法定代表人身份证</w:t>
            </w:r>
          </w:p>
        </w:tc>
        <w:tc>
          <w:tcPr>
            <w:tcW w:w="4981" w:type="dxa"/>
            <w:noWrap w:val="0"/>
            <w:vAlign w:val="center"/>
          </w:tcPr>
          <w:p w14:paraId="361BC9C9">
            <w:pPr>
              <w:spacing w:beforeLines="20" w:after="0" w:afterLines="20" w:line="540" w:lineRule="exact"/>
              <w:ind w:firstLine="0" w:firstLineChars="0"/>
              <w:jc w:val="center"/>
              <w:rPr>
                <w:rFonts w:hAnsi="宋体"/>
                <w:color w:val="auto"/>
                <w:highlight w:val="none"/>
              </w:rPr>
            </w:pPr>
            <w:r>
              <w:rPr>
                <w:rFonts w:hint="eastAsia" w:hAnsi="宋体"/>
                <w:color w:val="auto"/>
                <w:highlight w:val="none"/>
              </w:rPr>
              <w:t>法定代表人身份证</w:t>
            </w:r>
          </w:p>
        </w:tc>
      </w:tr>
      <w:tr w14:paraId="6AE4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4" w:hRule="atLeast"/>
        </w:trPr>
        <w:tc>
          <w:tcPr>
            <w:tcW w:w="4981" w:type="dxa"/>
            <w:noWrap w:val="0"/>
            <w:vAlign w:val="center"/>
          </w:tcPr>
          <w:p w14:paraId="35989490">
            <w:pPr>
              <w:spacing w:beforeLines="20" w:after="0" w:afterLines="20" w:line="540" w:lineRule="exact"/>
              <w:ind w:firstLine="0" w:firstLineChars="0"/>
              <w:jc w:val="center"/>
              <w:rPr>
                <w:rFonts w:hAnsi="宋体"/>
                <w:color w:val="auto"/>
                <w:highlight w:val="none"/>
              </w:rPr>
            </w:pPr>
            <w:r>
              <w:rPr>
                <w:rFonts w:hint="eastAsia" w:hAnsi="宋体"/>
                <w:color w:val="auto"/>
                <w:highlight w:val="none"/>
              </w:rPr>
              <w:t>代理人身份证</w:t>
            </w:r>
          </w:p>
        </w:tc>
        <w:tc>
          <w:tcPr>
            <w:tcW w:w="4981" w:type="dxa"/>
            <w:noWrap w:val="0"/>
            <w:vAlign w:val="center"/>
          </w:tcPr>
          <w:p w14:paraId="0686ABA3">
            <w:pPr>
              <w:spacing w:beforeLines="20" w:after="0" w:afterLines="20" w:line="540" w:lineRule="exact"/>
              <w:ind w:firstLine="0" w:firstLineChars="0"/>
              <w:jc w:val="center"/>
              <w:rPr>
                <w:rFonts w:hAnsi="宋体"/>
                <w:color w:val="auto"/>
                <w:highlight w:val="none"/>
              </w:rPr>
            </w:pPr>
            <w:r>
              <w:rPr>
                <w:rFonts w:hint="eastAsia" w:hAnsi="宋体"/>
                <w:color w:val="auto"/>
                <w:highlight w:val="none"/>
              </w:rPr>
              <w:t>代理人身份证</w:t>
            </w:r>
          </w:p>
        </w:tc>
      </w:tr>
    </w:tbl>
    <w:p w14:paraId="6DC4CF5A">
      <w:pPr>
        <w:bidi w:val="0"/>
        <w:rPr>
          <w:rFonts w:hint="eastAsia"/>
          <w:highlight w:val="none"/>
        </w:rPr>
      </w:pPr>
    </w:p>
    <w:p w14:paraId="04980147">
      <w:pPr>
        <w:pStyle w:val="3"/>
        <w:numPr>
          <w:ilvl w:val="0"/>
          <w:numId w:val="0"/>
        </w:numPr>
        <w:bidi w:val="0"/>
        <w:jc w:val="center"/>
        <w:rPr>
          <w:rFonts w:hint="default" w:ascii="仿宋" w:hAnsi="仿宋" w:eastAsia="仿宋" w:cs="仿宋"/>
          <w:color w:val="auto"/>
          <w:spacing w:val="-2"/>
          <w:sz w:val="24"/>
          <w:highlight w:val="none"/>
          <w:lang w:val="en-US" w:eastAsia="zh-CN"/>
        </w:rPr>
      </w:pPr>
      <w:r>
        <w:rPr>
          <w:rFonts w:hint="eastAsia" w:ascii="仿宋" w:hAnsi="仿宋" w:eastAsia="仿宋" w:cs="仿宋"/>
          <w:b/>
          <w:bCs/>
          <w:color w:val="auto"/>
          <w:kern w:val="2"/>
          <w:sz w:val="30"/>
          <w:szCs w:val="30"/>
          <w:highlight w:val="none"/>
          <w:lang w:val="en-US" w:eastAsia="zh-CN" w:bidi="ar-SA"/>
        </w:rPr>
        <w:br w:type="page"/>
      </w:r>
      <w:bookmarkStart w:id="399" w:name="_Toc6128"/>
      <w:bookmarkStart w:id="400" w:name="_Toc11044"/>
      <w:bookmarkStart w:id="401" w:name="_Toc26437"/>
      <w:bookmarkStart w:id="402" w:name="_Toc17298"/>
      <w:bookmarkStart w:id="403" w:name="_Toc11830"/>
      <w:bookmarkStart w:id="404" w:name="_Toc16288"/>
      <w:bookmarkStart w:id="405" w:name="_Toc31447"/>
      <w:bookmarkStart w:id="406" w:name="_Toc2124"/>
      <w:bookmarkStart w:id="407" w:name="_Toc4985"/>
      <w:r>
        <w:rPr>
          <w:rStyle w:val="33"/>
          <w:rFonts w:hint="eastAsia"/>
          <w:b/>
          <w:bCs/>
          <w:highlight w:val="none"/>
          <w:lang w:val="en-US" w:eastAsia="zh-CN"/>
        </w:rPr>
        <w:t>格式10.磋商文件要求提供或与评审计分有关的其他资料</w:t>
      </w:r>
      <w:bookmarkEnd w:id="399"/>
      <w:bookmarkEnd w:id="400"/>
      <w:bookmarkEnd w:id="401"/>
      <w:bookmarkEnd w:id="402"/>
      <w:bookmarkEnd w:id="403"/>
      <w:bookmarkEnd w:id="404"/>
      <w:bookmarkEnd w:id="405"/>
      <w:bookmarkEnd w:id="406"/>
      <w:bookmarkEnd w:id="407"/>
    </w:p>
    <w:p w14:paraId="2F784F3E">
      <w:pPr>
        <w:numPr>
          <w:ilvl w:val="0"/>
          <w:numId w:val="0"/>
        </w:numPr>
        <w:bidi w:val="0"/>
        <w:ind w:leftChars="200"/>
        <w:rPr>
          <w:rFonts w:hint="default"/>
          <w:highlight w:val="none"/>
          <w:lang w:val="en-US" w:eastAsia="zh-CN"/>
        </w:rPr>
      </w:pPr>
      <w:r>
        <w:rPr>
          <w:rFonts w:hint="eastAsia"/>
          <w:highlight w:val="none"/>
          <w:lang w:val="en-US" w:eastAsia="zh-CN"/>
        </w:rPr>
        <w:t xml:space="preserve">         </w:t>
      </w:r>
    </w:p>
    <w:p w14:paraId="148CDD3A">
      <w:pPr>
        <w:pStyle w:val="2"/>
        <w:bidi w:val="0"/>
        <w:rPr>
          <w:rFonts w:hint="default" w:eastAsia="仿宋"/>
          <w:color w:val="auto"/>
          <w:highlight w:val="none"/>
          <w:lang w:val="en-US" w:eastAsia="zh-CN"/>
        </w:rPr>
      </w:pPr>
      <w:r>
        <w:rPr>
          <w:rFonts w:hint="eastAsia"/>
          <w:color w:val="auto"/>
          <w:highlight w:val="none"/>
        </w:rPr>
        <w:br w:type="page"/>
      </w:r>
      <w:bookmarkStart w:id="408" w:name="_Toc31744"/>
      <w:bookmarkStart w:id="409" w:name="_Toc17777"/>
      <w:bookmarkStart w:id="410" w:name="_Toc17292"/>
      <w:bookmarkStart w:id="411" w:name="_Toc25104"/>
      <w:bookmarkStart w:id="412" w:name="_Toc6401"/>
      <w:bookmarkStart w:id="413" w:name="_Toc29213"/>
      <w:bookmarkStart w:id="414" w:name="_Toc8929"/>
      <w:bookmarkStart w:id="415" w:name="_Toc724"/>
      <w:bookmarkStart w:id="416" w:name="_Toc17256"/>
      <w:bookmarkStart w:id="417" w:name="_Toc500258558"/>
      <w:bookmarkStart w:id="418" w:name="_Toc499818239"/>
      <w:bookmarkStart w:id="419" w:name="_Toc505020183"/>
      <w:bookmarkStart w:id="420" w:name="_Toc504641993"/>
      <w:r>
        <w:rPr>
          <w:rFonts w:hint="eastAsia"/>
          <w:color w:val="auto"/>
          <w:highlight w:val="none"/>
          <w:lang w:val="en-US" w:eastAsia="zh-CN"/>
        </w:rPr>
        <w:t xml:space="preserve">第五章  </w:t>
      </w:r>
      <w:r>
        <w:rPr>
          <w:rFonts w:hint="eastAsia" w:ascii="仿宋" w:hAnsi="仿宋" w:cs="仿宋"/>
          <w:b/>
          <w:bCs/>
          <w:color w:val="auto"/>
          <w:sz w:val="32"/>
          <w:highlight w:val="none"/>
          <w:lang w:val="en-US" w:eastAsia="zh-CN"/>
        </w:rPr>
        <w:t>评审标准</w:t>
      </w:r>
      <w:bookmarkEnd w:id="408"/>
      <w:bookmarkEnd w:id="409"/>
      <w:bookmarkEnd w:id="410"/>
      <w:bookmarkEnd w:id="411"/>
      <w:bookmarkEnd w:id="412"/>
      <w:bookmarkEnd w:id="413"/>
      <w:bookmarkEnd w:id="414"/>
      <w:bookmarkEnd w:id="415"/>
      <w:bookmarkEnd w:id="416"/>
    </w:p>
    <w:p w14:paraId="38BF266A">
      <w:pPr>
        <w:bidi w:val="0"/>
        <w:rPr>
          <w:rFonts w:hint="eastAsia"/>
          <w:color w:val="auto"/>
          <w:highlight w:val="none"/>
        </w:rPr>
      </w:pPr>
      <w:r>
        <w:rPr>
          <w:rFonts w:hint="eastAsia" w:cs="Times New Roman"/>
          <w:color w:val="auto"/>
          <w:highlight w:val="none"/>
        </w:rPr>
        <w:t>按照</w:t>
      </w:r>
      <w:r>
        <w:rPr>
          <w:rFonts w:hint="eastAsia"/>
          <w:color w:val="auto"/>
          <w:highlight w:val="none"/>
        </w:rPr>
        <w:t>磋商文件中规定的评审方法和标准，磋商小组采用综合评</w:t>
      </w:r>
      <w:r>
        <w:rPr>
          <w:rFonts w:hint="eastAsia"/>
          <w:color w:val="auto"/>
          <w:highlight w:val="none"/>
          <w:lang w:val="en-US" w:eastAsia="zh-CN"/>
        </w:rPr>
        <w:t>估</w:t>
      </w:r>
      <w:r>
        <w:rPr>
          <w:rFonts w:hint="eastAsia"/>
          <w:color w:val="auto"/>
          <w:highlight w:val="none"/>
        </w:rPr>
        <w:t>法对符合性审查合格且提交了最后报价的供应商的响应文件和最后报价进行综合评分。</w:t>
      </w:r>
      <w:bookmarkEnd w:id="417"/>
      <w:bookmarkEnd w:id="418"/>
      <w:bookmarkEnd w:id="419"/>
      <w:bookmarkEnd w:id="420"/>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948"/>
        <w:gridCol w:w="951"/>
        <w:gridCol w:w="5352"/>
        <w:gridCol w:w="624"/>
      </w:tblGrid>
      <w:tr w14:paraId="561D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 w:type="pct"/>
            <w:tcBorders>
              <w:tl2br w:val="nil"/>
              <w:tr2bl w:val="nil"/>
            </w:tcBorders>
            <w:vAlign w:val="center"/>
          </w:tcPr>
          <w:p w14:paraId="536DB801">
            <w:pPr>
              <w:adjustRightInd w:val="0"/>
              <w:snapToGrid w:val="0"/>
              <w:spacing w:beforeLines="0" w:afterLines="0" w:line="240" w:lineRule="auto"/>
              <w:ind w:left="0" w:leftChars="0" w:firstLine="0" w:firstLineChars="0"/>
              <w:jc w:val="center"/>
              <w:rPr>
                <w:rFonts w:hint="eastAsia" w:ascii="仿宋" w:hAnsi="仿宋" w:eastAsia="仿宋" w:cs="仿宋"/>
              </w:rPr>
            </w:pPr>
            <w:r>
              <w:rPr>
                <w:rFonts w:hint="eastAsia" w:ascii="仿宋" w:hAnsi="仿宋" w:eastAsia="仿宋" w:cs="仿宋"/>
              </w:rPr>
              <w:t>序号</w:t>
            </w:r>
          </w:p>
        </w:tc>
        <w:tc>
          <w:tcPr>
            <w:tcW w:w="1118" w:type="pct"/>
            <w:gridSpan w:val="2"/>
            <w:tcBorders>
              <w:tl2br w:val="nil"/>
              <w:tr2bl w:val="nil"/>
            </w:tcBorders>
            <w:vAlign w:val="center"/>
          </w:tcPr>
          <w:p w14:paraId="3338DDC0">
            <w:pPr>
              <w:adjustRightInd w:val="0"/>
              <w:snapToGrid w:val="0"/>
              <w:spacing w:beforeLines="0" w:afterLines="0" w:line="240" w:lineRule="auto"/>
              <w:ind w:left="0" w:leftChars="0" w:firstLine="0" w:firstLineChars="0"/>
              <w:jc w:val="center"/>
              <w:rPr>
                <w:rFonts w:hint="eastAsia" w:ascii="仿宋" w:hAnsi="仿宋" w:eastAsia="仿宋" w:cs="仿宋"/>
              </w:rPr>
            </w:pPr>
            <w:r>
              <w:rPr>
                <w:rFonts w:hint="eastAsia" w:ascii="仿宋" w:hAnsi="仿宋" w:eastAsia="仿宋" w:cs="仿宋"/>
                <w:lang w:val="en-US" w:eastAsia="zh-CN"/>
              </w:rPr>
              <w:t>评审</w:t>
            </w:r>
            <w:r>
              <w:rPr>
                <w:rFonts w:hint="eastAsia" w:ascii="仿宋" w:hAnsi="仿宋" w:eastAsia="仿宋" w:cs="仿宋"/>
              </w:rPr>
              <w:t>要素</w:t>
            </w:r>
          </w:p>
        </w:tc>
        <w:tc>
          <w:tcPr>
            <w:tcW w:w="3151" w:type="pct"/>
            <w:tcBorders>
              <w:tl2br w:val="nil"/>
              <w:tr2bl w:val="nil"/>
            </w:tcBorders>
            <w:vAlign w:val="center"/>
          </w:tcPr>
          <w:p w14:paraId="279FCAFF">
            <w:pPr>
              <w:adjustRightInd w:val="0"/>
              <w:snapToGrid w:val="0"/>
              <w:spacing w:beforeLines="0" w:afterLines="0" w:line="240" w:lineRule="auto"/>
              <w:ind w:firstLine="0" w:firstLineChars="0"/>
              <w:jc w:val="center"/>
              <w:rPr>
                <w:rFonts w:hint="eastAsia" w:ascii="仿宋" w:hAnsi="仿宋" w:eastAsia="仿宋" w:cs="仿宋"/>
              </w:rPr>
            </w:pPr>
            <w:r>
              <w:rPr>
                <w:rFonts w:hint="eastAsia" w:ascii="仿宋" w:hAnsi="仿宋" w:eastAsia="仿宋" w:cs="仿宋"/>
                <w:lang w:val="en-US" w:eastAsia="zh-CN"/>
              </w:rPr>
              <w:t>评审</w:t>
            </w:r>
            <w:r>
              <w:rPr>
                <w:rFonts w:hint="eastAsia" w:ascii="仿宋" w:hAnsi="仿宋" w:eastAsia="仿宋" w:cs="仿宋"/>
              </w:rPr>
              <w:t>内容</w:t>
            </w:r>
          </w:p>
        </w:tc>
        <w:tc>
          <w:tcPr>
            <w:tcW w:w="367" w:type="pct"/>
            <w:tcBorders>
              <w:tl2br w:val="nil"/>
              <w:tr2bl w:val="nil"/>
            </w:tcBorders>
            <w:vAlign w:val="center"/>
          </w:tcPr>
          <w:p w14:paraId="383B4D9D">
            <w:pPr>
              <w:adjustRightInd w:val="0"/>
              <w:snapToGrid w:val="0"/>
              <w:spacing w:beforeLines="0" w:afterLines="0" w:line="240" w:lineRule="auto"/>
              <w:ind w:left="0" w:leftChars="0" w:firstLine="0" w:firstLineChars="0"/>
              <w:jc w:val="center"/>
              <w:rPr>
                <w:rFonts w:hint="eastAsia" w:ascii="仿宋" w:hAnsi="仿宋" w:eastAsia="仿宋" w:cs="仿宋"/>
              </w:rPr>
            </w:pPr>
            <w:r>
              <w:rPr>
                <w:rFonts w:hint="eastAsia" w:ascii="仿宋" w:hAnsi="仿宋" w:eastAsia="仿宋" w:cs="仿宋"/>
              </w:rPr>
              <w:t>得分</w:t>
            </w:r>
          </w:p>
        </w:tc>
      </w:tr>
      <w:tr w14:paraId="0D6A8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jc w:val="center"/>
        </w:trPr>
        <w:tc>
          <w:tcPr>
            <w:tcW w:w="362" w:type="pct"/>
            <w:tcBorders>
              <w:tl2br w:val="nil"/>
              <w:tr2bl w:val="nil"/>
            </w:tcBorders>
            <w:vAlign w:val="center"/>
          </w:tcPr>
          <w:p w14:paraId="3BB7FE75">
            <w:pPr>
              <w:adjustRightInd w:val="0"/>
              <w:snapToGrid w:val="0"/>
              <w:spacing w:beforeLines="0" w:afterLines="0" w:line="240" w:lineRule="auto"/>
              <w:ind w:left="0" w:leftChars="0" w:firstLine="0" w:firstLineChars="0"/>
              <w:jc w:val="center"/>
              <w:rPr>
                <w:rFonts w:hint="eastAsia" w:ascii="仿宋" w:hAnsi="仿宋" w:eastAsia="仿宋" w:cs="仿宋"/>
                <w:b/>
                <w:bCs/>
                <w:sz w:val="24"/>
                <w:szCs w:val="24"/>
              </w:rPr>
            </w:pPr>
            <w:r>
              <w:rPr>
                <w:rFonts w:hint="eastAsia" w:ascii="仿宋" w:hAnsi="仿宋" w:eastAsia="仿宋" w:cs="仿宋"/>
                <w:b/>
                <w:bCs/>
                <w:sz w:val="24"/>
                <w:szCs w:val="24"/>
              </w:rPr>
              <w:t>1</w:t>
            </w:r>
          </w:p>
        </w:tc>
        <w:tc>
          <w:tcPr>
            <w:tcW w:w="558" w:type="pct"/>
            <w:tcBorders>
              <w:tl2br w:val="nil"/>
              <w:tr2bl w:val="nil"/>
            </w:tcBorders>
            <w:vAlign w:val="center"/>
          </w:tcPr>
          <w:p w14:paraId="5195278E">
            <w:pPr>
              <w:adjustRightInd w:val="0"/>
              <w:snapToGrid w:val="0"/>
              <w:spacing w:beforeLines="0" w:afterLines="0" w:line="240" w:lineRule="auto"/>
              <w:ind w:left="0" w:leftChars="0" w:firstLine="0" w:firstLineChars="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价格部分（30分）</w:t>
            </w:r>
          </w:p>
        </w:tc>
        <w:tc>
          <w:tcPr>
            <w:tcW w:w="560" w:type="pct"/>
            <w:tcBorders>
              <w:tl2br w:val="nil"/>
              <w:tr2bl w:val="nil"/>
            </w:tcBorders>
            <w:vAlign w:val="center"/>
          </w:tcPr>
          <w:p w14:paraId="1CA9A439">
            <w:pPr>
              <w:adjustRightInd w:val="0"/>
              <w:snapToGrid w:val="0"/>
              <w:spacing w:beforeLines="0" w:afterLines="0" w:line="240" w:lineRule="auto"/>
              <w:ind w:left="0" w:leftChars="0" w:firstLine="0" w:firstLineChars="0"/>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投标报价</w:t>
            </w:r>
          </w:p>
        </w:tc>
        <w:tc>
          <w:tcPr>
            <w:tcW w:w="3151" w:type="pct"/>
            <w:tcBorders>
              <w:tl2br w:val="nil"/>
              <w:tr2bl w:val="nil"/>
            </w:tcBorders>
            <w:vAlign w:val="center"/>
          </w:tcPr>
          <w:p w14:paraId="76BB37AF">
            <w:pPr>
              <w:adjustRightInd w:val="0"/>
              <w:snapToGrid w:val="0"/>
              <w:spacing w:beforeLines="0" w:afterLines="0" w:line="240" w:lineRule="auto"/>
              <w:ind w:left="0" w:leftChars="0" w:firstLine="0" w:firstLineChars="0"/>
              <w:rPr>
                <w:rFonts w:hint="eastAsia" w:ascii="仿宋" w:hAnsi="仿宋" w:eastAsia="仿宋" w:cs="仿宋"/>
                <w:b/>
                <w:bCs/>
                <w:sz w:val="24"/>
                <w:szCs w:val="24"/>
              </w:rPr>
            </w:pPr>
            <w:r>
              <w:rPr>
                <w:rFonts w:hint="eastAsia" w:ascii="仿宋" w:hAnsi="仿宋" w:eastAsia="仿宋" w:cs="仿宋"/>
                <w:color w:val="000000" w:themeColor="text1"/>
                <w:kern w:val="2"/>
                <w:sz w:val="24"/>
                <w:lang w:val="en-US" w:eastAsia="zh-CN" w:bidi="ar-SA"/>
                <w14:textFill>
                  <w14:solidFill>
                    <w14:schemeClr w14:val="tx1"/>
                  </w14:solidFill>
                </w14:textFill>
              </w:rPr>
              <w:t>价格分采用合理竞争报价计算法，即满足磋商文件要求且报价有效的供应商的报价平均值为基准价，其价格分为满分。当有效投标报价少于5个时，评标基准价为所有有效投标报价的算术平均值；当有效投标报价达到或超过5个时，评标基准价为去除一个最高报价和一个最低报价后的算术平均值。供应商的价格分统一按下列公式计算：投标报价得分（保留小数点后两位）=【1-｜（供应商报价 -评标基准价）｜/评标基准价】*30分。</w:t>
            </w:r>
          </w:p>
        </w:tc>
        <w:tc>
          <w:tcPr>
            <w:tcW w:w="367" w:type="pct"/>
            <w:tcBorders>
              <w:tl2br w:val="nil"/>
              <w:tr2bl w:val="nil"/>
            </w:tcBorders>
            <w:vAlign w:val="center"/>
          </w:tcPr>
          <w:p w14:paraId="326FFDDB">
            <w:pPr>
              <w:adjustRightInd w:val="0"/>
              <w:snapToGrid w:val="0"/>
              <w:spacing w:beforeLines="0" w:afterLines="0" w:line="240" w:lineRule="auto"/>
              <w:ind w:left="0" w:leftChars="0" w:firstLine="0" w:firstLineChars="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0分</w:t>
            </w:r>
          </w:p>
        </w:tc>
      </w:tr>
      <w:tr w14:paraId="79B6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jc w:val="center"/>
        </w:trPr>
        <w:tc>
          <w:tcPr>
            <w:tcW w:w="362" w:type="pct"/>
            <w:vMerge w:val="restart"/>
            <w:tcBorders>
              <w:tl2br w:val="nil"/>
              <w:tr2bl w:val="nil"/>
            </w:tcBorders>
            <w:vAlign w:val="center"/>
          </w:tcPr>
          <w:p w14:paraId="4F831C14">
            <w:pPr>
              <w:adjustRightInd w:val="0"/>
              <w:snapToGrid w:val="0"/>
              <w:spacing w:beforeLines="0" w:afterLines="0" w:line="240" w:lineRule="auto"/>
              <w:ind w:left="0" w:leftChars="0" w:firstLine="0" w:firstLineChars="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w:t>
            </w:r>
          </w:p>
        </w:tc>
        <w:tc>
          <w:tcPr>
            <w:tcW w:w="558" w:type="pct"/>
            <w:vMerge w:val="restart"/>
            <w:tcBorders>
              <w:tl2br w:val="nil"/>
              <w:tr2bl w:val="nil"/>
            </w:tcBorders>
            <w:vAlign w:val="center"/>
          </w:tcPr>
          <w:p w14:paraId="43308EAE">
            <w:pPr>
              <w:adjustRightInd w:val="0"/>
              <w:snapToGrid w:val="0"/>
              <w:spacing w:beforeLines="0" w:afterLines="0" w:line="240" w:lineRule="auto"/>
              <w:ind w:left="0" w:leftChars="0" w:firstLine="0" w:firstLineChars="0"/>
              <w:jc w:val="center"/>
              <w:rPr>
                <w:rFonts w:hint="eastAsia" w:ascii="仿宋" w:hAnsi="仿宋" w:eastAsia="仿宋" w:cs="仿宋"/>
                <w:color w:val="000000" w:themeColor="text1"/>
                <w:kern w:val="2"/>
                <w:sz w:val="24"/>
                <w:lang w:val="en-US" w:eastAsia="zh-CN" w:bidi="ar-SA"/>
                <w14:textFill>
                  <w14:solidFill>
                    <w14:schemeClr w14:val="tx1"/>
                  </w14:solidFill>
                </w14:textFill>
              </w:rPr>
            </w:pPr>
            <w:r>
              <w:rPr>
                <w:rFonts w:hint="eastAsia" w:ascii="仿宋" w:hAnsi="仿宋" w:eastAsia="仿宋" w:cs="仿宋"/>
                <w:color w:val="000000" w:themeColor="text1"/>
                <w:kern w:val="2"/>
                <w:sz w:val="24"/>
                <w:lang w:val="en-US" w:eastAsia="zh-CN" w:bidi="ar-SA"/>
                <w14:textFill>
                  <w14:solidFill>
                    <w14:schemeClr w14:val="tx1"/>
                  </w14:solidFill>
                </w14:textFill>
              </w:rPr>
              <w:t>技术部分</w:t>
            </w:r>
          </w:p>
          <w:p w14:paraId="0A43CAC4">
            <w:pPr>
              <w:adjustRightInd w:val="0"/>
              <w:snapToGrid w:val="0"/>
              <w:spacing w:beforeLines="0" w:afterLines="0" w:line="240" w:lineRule="auto"/>
              <w:ind w:left="0" w:leftChars="0" w:firstLine="0" w:firstLineChars="0"/>
              <w:jc w:val="center"/>
              <w:rPr>
                <w:rFonts w:hint="eastAsia" w:ascii="仿宋" w:hAnsi="仿宋" w:eastAsia="仿宋" w:cs="仿宋"/>
                <w:color w:val="000000" w:themeColor="text1"/>
                <w:kern w:val="2"/>
                <w:sz w:val="24"/>
                <w:lang w:val="en-US" w:eastAsia="zh-CN" w:bidi="ar-SA"/>
                <w14:textFill>
                  <w14:solidFill>
                    <w14:schemeClr w14:val="tx1"/>
                  </w14:solidFill>
                </w14:textFill>
              </w:rPr>
            </w:pPr>
            <w:r>
              <w:rPr>
                <w:rFonts w:hint="eastAsia" w:ascii="仿宋" w:hAnsi="仿宋" w:eastAsia="仿宋" w:cs="仿宋"/>
                <w:color w:val="000000" w:themeColor="text1"/>
                <w:kern w:val="2"/>
                <w:sz w:val="24"/>
                <w:lang w:val="en-US" w:eastAsia="zh-CN" w:bidi="ar-SA"/>
                <w14:textFill>
                  <w14:solidFill>
                    <w14:schemeClr w14:val="tx1"/>
                  </w14:solidFill>
                </w14:textFill>
              </w:rPr>
              <w:t>（40分）</w:t>
            </w:r>
          </w:p>
        </w:tc>
        <w:tc>
          <w:tcPr>
            <w:tcW w:w="560" w:type="pct"/>
            <w:tcBorders>
              <w:tl2br w:val="nil"/>
              <w:tr2bl w:val="nil"/>
            </w:tcBorders>
            <w:vAlign w:val="center"/>
          </w:tcPr>
          <w:p w14:paraId="4C0B784D">
            <w:pPr>
              <w:adjustRightInd w:val="0"/>
              <w:snapToGrid w:val="0"/>
              <w:spacing w:beforeLines="0" w:afterLines="0" w:line="240" w:lineRule="auto"/>
              <w:ind w:left="0" w:leftChars="0" w:firstLine="0" w:firstLineChars="0"/>
              <w:jc w:val="center"/>
              <w:rPr>
                <w:rFonts w:hint="eastAsia" w:ascii="仿宋" w:hAnsi="仿宋" w:eastAsia="仿宋" w:cs="仿宋"/>
                <w:b w:val="0"/>
                <w:bCs w:val="0"/>
                <w:color w:val="000000" w:themeColor="text1"/>
                <w:kern w:val="2"/>
                <w:sz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lang w:val="en-US" w:eastAsia="zh-CN" w:bidi="ar-SA"/>
                <w14:textFill>
                  <w14:solidFill>
                    <w14:schemeClr w14:val="tx1"/>
                  </w14:solidFill>
                </w14:textFill>
              </w:rPr>
              <w:t>项目实施方案</w:t>
            </w:r>
          </w:p>
          <w:p w14:paraId="23953221">
            <w:pPr>
              <w:adjustRightInd w:val="0"/>
              <w:snapToGrid w:val="0"/>
              <w:spacing w:beforeLines="0" w:afterLines="0" w:line="240" w:lineRule="auto"/>
              <w:ind w:left="0" w:lef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color w:val="000000" w:themeColor="text1"/>
                <w:kern w:val="2"/>
                <w:sz w:val="24"/>
                <w:lang w:val="en-US" w:eastAsia="zh-CN" w:bidi="ar-SA"/>
                <w14:textFill>
                  <w14:solidFill>
                    <w14:schemeClr w14:val="tx1"/>
                  </w14:solidFill>
                </w14:textFill>
              </w:rPr>
              <w:t>（10分）</w:t>
            </w:r>
          </w:p>
        </w:tc>
        <w:tc>
          <w:tcPr>
            <w:tcW w:w="3151" w:type="pct"/>
            <w:tcBorders>
              <w:tl2br w:val="nil"/>
              <w:tr2bl w:val="nil"/>
            </w:tcBorders>
            <w:vAlign w:val="center"/>
          </w:tcPr>
          <w:p w14:paraId="6E0C2538">
            <w:pPr>
              <w:adjustRightInd w:val="0"/>
              <w:snapToGrid w:val="0"/>
              <w:spacing w:beforeLines="0" w:afterLines="0" w:line="240" w:lineRule="auto"/>
              <w:ind w:left="0" w:leftChars="0" w:firstLine="0" w:firstLineChars="0"/>
              <w:rPr>
                <w:rFonts w:hint="eastAsia" w:ascii="仿宋" w:hAnsi="仿宋" w:eastAsia="仿宋" w:cs="仿宋"/>
                <w:color w:val="000000" w:themeColor="text1"/>
                <w:kern w:val="2"/>
                <w:sz w:val="24"/>
                <w:lang w:val="en-US" w:eastAsia="zh-CN" w:bidi="ar-SA"/>
                <w14:textFill>
                  <w14:solidFill>
                    <w14:schemeClr w14:val="tx1"/>
                  </w14:solidFill>
                </w14:textFill>
              </w:rPr>
            </w:pPr>
            <w:r>
              <w:rPr>
                <w:rFonts w:hint="eastAsia" w:ascii="仿宋" w:hAnsi="仿宋" w:eastAsia="仿宋" w:cs="仿宋"/>
                <w:color w:val="000000" w:themeColor="text1"/>
                <w:kern w:val="2"/>
                <w:sz w:val="24"/>
                <w:lang w:val="en-US" w:eastAsia="zh-CN" w:bidi="ar-SA"/>
                <w14:textFill>
                  <w14:solidFill>
                    <w14:schemeClr w14:val="tx1"/>
                  </w14:solidFill>
                </w14:textFill>
              </w:rPr>
              <w:t>供应商提供针对本项目的项目实施方案，方案包含但不限于①总体规划和系统详细建设内容；②项目管理方案（项目团队配置和岗位职责、工作程序、方法和制度等）；③质量、进度、安全、培训方面的保证措施方案；④根据全国其他地区类似项目案例的经验做法，阐述对本项目的理解及建议。</w:t>
            </w:r>
          </w:p>
          <w:p w14:paraId="13C355D8">
            <w:pPr>
              <w:adjustRightInd w:val="0"/>
              <w:snapToGrid w:val="0"/>
              <w:spacing w:beforeLines="0" w:afterLines="0" w:line="240" w:lineRule="auto"/>
              <w:ind w:left="0" w:leftChars="0" w:firstLine="0" w:firstLineChars="0"/>
              <w:rPr>
                <w:rFonts w:hint="eastAsia" w:ascii="仿宋" w:hAnsi="仿宋" w:eastAsia="仿宋" w:cs="仿宋"/>
                <w:b w:val="0"/>
                <w:bCs w:val="0"/>
                <w:color w:val="000000" w:themeColor="text1"/>
                <w:kern w:val="2"/>
                <w:sz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lang w:val="en-US" w:eastAsia="zh-CN" w:bidi="ar-SA"/>
                <w14:textFill>
                  <w14:solidFill>
                    <w14:schemeClr w14:val="tx1"/>
                  </w14:solidFill>
                </w14:textFill>
              </w:rPr>
              <w:t>方案内容完整、阐述精确、内容科学合理得8-10分；</w:t>
            </w:r>
          </w:p>
          <w:p w14:paraId="79C912D9">
            <w:pPr>
              <w:adjustRightInd w:val="0"/>
              <w:snapToGrid w:val="0"/>
              <w:spacing w:beforeLines="0" w:afterLines="0" w:line="240" w:lineRule="auto"/>
              <w:ind w:left="0" w:leftChars="0" w:firstLine="0" w:firstLineChars="0"/>
              <w:rPr>
                <w:rFonts w:hint="eastAsia" w:ascii="仿宋" w:hAnsi="仿宋" w:eastAsia="仿宋" w:cs="仿宋"/>
                <w:b w:val="0"/>
                <w:bCs w:val="0"/>
                <w:color w:val="000000" w:themeColor="text1"/>
                <w:kern w:val="2"/>
                <w:sz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lang w:val="en-US" w:eastAsia="zh-CN" w:bidi="ar-SA"/>
                <w14:textFill>
                  <w14:solidFill>
                    <w14:schemeClr w14:val="tx1"/>
                  </w14:solidFill>
                </w14:textFill>
              </w:rPr>
              <w:t>方案内容较完整、阐述较精确、较为科学合理的得5-7分；</w:t>
            </w:r>
          </w:p>
          <w:p w14:paraId="46CA88CE">
            <w:pPr>
              <w:adjustRightInd w:val="0"/>
              <w:snapToGrid w:val="0"/>
              <w:spacing w:beforeLines="0" w:afterLines="0" w:line="240" w:lineRule="auto"/>
              <w:ind w:left="0" w:leftChars="0" w:firstLine="0" w:firstLineChars="0"/>
              <w:rPr>
                <w:rFonts w:hint="eastAsia" w:ascii="仿宋" w:hAnsi="仿宋" w:eastAsia="仿宋" w:cs="仿宋"/>
                <w:b w:val="0"/>
                <w:bCs w:val="0"/>
                <w:color w:val="000000" w:themeColor="text1"/>
                <w:kern w:val="2"/>
                <w:sz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lang w:val="en-US" w:eastAsia="zh-CN" w:bidi="ar-SA"/>
                <w14:textFill>
                  <w14:solidFill>
                    <w14:schemeClr w14:val="tx1"/>
                  </w14:solidFill>
                </w14:textFill>
              </w:rPr>
              <w:t>所提供方案内容基本完成、科学合理性一般的得2-4分；</w:t>
            </w:r>
          </w:p>
          <w:p w14:paraId="5AD844EE">
            <w:pPr>
              <w:adjustRightInd w:val="0"/>
              <w:snapToGrid w:val="0"/>
              <w:spacing w:beforeLines="0" w:afterLines="0" w:line="240" w:lineRule="auto"/>
              <w:ind w:left="0" w:leftChars="0" w:firstLine="0" w:firstLineChars="0"/>
              <w:rPr>
                <w:rFonts w:hint="eastAsia" w:ascii="仿宋" w:hAnsi="仿宋" w:eastAsia="仿宋" w:cs="仿宋"/>
                <w:b w:val="0"/>
                <w:bCs w:val="0"/>
                <w:color w:val="000000" w:themeColor="text1"/>
                <w:kern w:val="2"/>
                <w:sz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lang w:val="en-US" w:eastAsia="zh-CN" w:bidi="ar-SA"/>
                <w14:textFill>
                  <w14:solidFill>
                    <w14:schemeClr w14:val="tx1"/>
                  </w14:solidFill>
                </w14:textFill>
              </w:rPr>
              <w:t>所提供方案内容不全、缺失合理性的，或其余情况不得分。</w:t>
            </w:r>
          </w:p>
          <w:p w14:paraId="140FC086">
            <w:pPr>
              <w:adjustRightInd w:val="0"/>
              <w:snapToGrid w:val="0"/>
              <w:spacing w:beforeLines="0" w:afterLines="0" w:line="240" w:lineRule="auto"/>
              <w:ind w:left="0" w:leftChars="0" w:firstLine="0" w:firstLineChars="0"/>
              <w:rPr>
                <w:rFonts w:hint="eastAsia" w:ascii="仿宋" w:hAnsi="仿宋" w:eastAsia="仿宋" w:cs="仿宋"/>
                <w:color w:val="000000" w:themeColor="text1"/>
                <w:kern w:val="2"/>
                <w:sz w:val="24"/>
                <w:lang w:val="en-US" w:eastAsia="zh-CN" w:bidi="ar-SA"/>
                <w14:textFill>
                  <w14:solidFill>
                    <w14:schemeClr w14:val="tx1"/>
                  </w14:solidFill>
                </w14:textFill>
              </w:rPr>
            </w:pPr>
            <w:r>
              <w:rPr>
                <w:rFonts w:hint="eastAsia" w:ascii="仿宋" w:hAnsi="仿宋" w:eastAsia="仿宋" w:cs="仿宋"/>
                <w:b/>
                <w:bCs/>
                <w:i w:val="0"/>
                <w:iCs w:val="0"/>
                <w:color w:val="000000" w:themeColor="text1"/>
                <w:kern w:val="2"/>
                <w:sz w:val="24"/>
                <w:lang w:val="en-US" w:eastAsia="zh-CN" w:bidi="ar-SA"/>
                <w14:textFill>
                  <w14:solidFill>
                    <w14:schemeClr w14:val="tx1"/>
                  </w14:solidFill>
                </w14:textFill>
              </w:rPr>
              <w:t>评审依据：响应文件中提供的项目实施方案加盖供应商公章</w:t>
            </w:r>
            <w:r>
              <w:rPr>
                <w:rFonts w:hint="eastAsia" w:ascii="仿宋" w:hAnsi="仿宋" w:eastAsia="仿宋" w:cs="仿宋"/>
                <w:b/>
                <w:bCs/>
                <w:kern w:val="2"/>
                <w:sz w:val="24"/>
                <w:lang w:val="en-US" w:eastAsia="zh-CN" w:bidi="ar-SA"/>
              </w:rPr>
              <w:t>或投标专用章</w:t>
            </w:r>
            <w:r>
              <w:rPr>
                <w:rFonts w:hint="eastAsia" w:ascii="仿宋" w:hAnsi="仿宋" w:eastAsia="仿宋" w:cs="仿宋"/>
                <w:b/>
                <w:bCs/>
                <w:i w:val="0"/>
                <w:iCs w:val="0"/>
                <w:color w:val="000000" w:themeColor="text1"/>
                <w:kern w:val="2"/>
                <w:sz w:val="24"/>
                <w:lang w:val="en-US" w:eastAsia="zh-CN" w:bidi="ar-SA"/>
                <w14:textFill>
                  <w14:solidFill>
                    <w14:schemeClr w14:val="tx1"/>
                  </w14:solidFill>
                </w14:textFill>
              </w:rPr>
              <w:t>。</w:t>
            </w:r>
          </w:p>
        </w:tc>
        <w:tc>
          <w:tcPr>
            <w:tcW w:w="367" w:type="pct"/>
            <w:tcBorders>
              <w:tl2br w:val="nil"/>
              <w:tr2bl w:val="nil"/>
            </w:tcBorders>
            <w:vAlign w:val="center"/>
          </w:tcPr>
          <w:p w14:paraId="32C5554D">
            <w:pPr>
              <w:adjustRightInd w:val="0"/>
              <w:snapToGrid w:val="0"/>
              <w:spacing w:beforeLines="0" w:afterLines="0" w:line="240" w:lineRule="auto"/>
              <w:ind w:left="0" w:leftChars="0" w:firstLine="0" w:firstLineChars="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10分</w:t>
            </w:r>
          </w:p>
        </w:tc>
      </w:tr>
      <w:tr w14:paraId="1AD7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362" w:type="pct"/>
            <w:vMerge w:val="continue"/>
            <w:tcBorders>
              <w:tl2br w:val="nil"/>
              <w:tr2bl w:val="nil"/>
            </w:tcBorders>
            <w:vAlign w:val="center"/>
          </w:tcPr>
          <w:p w14:paraId="5B3E0581">
            <w:pPr>
              <w:adjustRightInd w:val="0"/>
              <w:snapToGrid w:val="0"/>
              <w:spacing w:beforeLines="0" w:afterLines="0" w:line="240" w:lineRule="auto"/>
              <w:ind w:left="0" w:leftChars="0" w:firstLine="0" w:firstLineChars="0"/>
              <w:jc w:val="center"/>
              <w:rPr>
                <w:rFonts w:hint="eastAsia" w:ascii="仿宋" w:hAnsi="仿宋" w:eastAsia="仿宋" w:cs="仿宋"/>
                <w:b/>
                <w:bCs/>
                <w:sz w:val="24"/>
                <w:szCs w:val="24"/>
                <w:lang w:val="en-US" w:eastAsia="zh-CN"/>
              </w:rPr>
            </w:pPr>
          </w:p>
        </w:tc>
        <w:tc>
          <w:tcPr>
            <w:tcW w:w="558" w:type="pct"/>
            <w:vMerge w:val="continue"/>
            <w:tcBorders>
              <w:tl2br w:val="nil"/>
              <w:tr2bl w:val="nil"/>
            </w:tcBorders>
            <w:vAlign w:val="center"/>
          </w:tcPr>
          <w:p w14:paraId="3C7BB1AC">
            <w:pPr>
              <w:adjustRightInd w:val="0"/>
              <w:snapToGrid w:val="0"/>
              <w:spacing w:beforeLines="0" w:afterLines="0" w:line="240" w:lineRule="auto"/>
              <w:ind w:left="0" w:leftChars="0" w:firstLine="0" w:firstLineChars="0"/>
              <w:jc w:val="center"/>
              <w:rPr>
                <w:rFonts w:hint="eastAsia" w:ascii="仿宋" w:hAnsi="仿宋" w:eastAsia="仿宋" w:cs="仿宋"/>
                <w:color w:val="000000" w:themeColor="text1"/>
                <w:kern w:val="2"/>
                <w:sz w:val="24"/>
                <w:lang w:val="en-US" w:eastAsia="zh-CN" w:bidi="ar-SA"/>
                <w14:textFill>
                  <w14:solidFill>
                    <w14:schemeClr w14:val="tx1"/>
                  </w14:solidFill>
                </w14:textFill>
              </w:rPr>
            </w:pPr>
          </w:p>
        </w:tc>
        <w:tc>
          <w:tcPr>
            <w:tcW w:w="560" w:type="pct"/>
            <w:tcBorders>
              <w:tl2br w:val="nil"/>
              <w:tr2bl w:val="nil"/>
            </w:tcBorders>
            <w:vAlign w:val="center"/>
          </w:tcPr>
          <w:p w14:paraId="2F0A9CA7">
            <w:pPr>
              <w:pStyle w:val="20"/>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eastAsia" w:ascii="仿宋" w:hAnsi="仿宋" w:eastAsia="仿宋" w:cs="仿宋"/>
                <w:b w:val="0"/>
                <w:bCs w:val="0"/>
                <w:color w:val="000000" w:themeColor="text1"/>
                <w:kern w:val="2"/>
                <w:sz w:val="24"/>
                <w:lang w:val="en-US" w:eastAsia="zh-CN" w:bidi="ar-SA"/>
                <w14:textFill>
                  <w14:solidFill>
                    <w14:schemeClr w14:val="tx1"/>
                  </w14:solidFill>
                </w14:textFill>
              </w:rPr>
            </w:pPr>
            <w:r>
              <w:rPr>
                <w:rFonts w:hint="eastAsia" w:ascii="仿宋" w:hAnsi="仿宋" w:eastAsia="仿宋" w:cs="仿宋"/>
                <w:b w:val="0"/>
                <w:bCs w:val="0"/>
                <w:color w:val="auto"/>
                <w:sz w:val="24"/>
                <w:szCs w:val="20"/>
                <w:highlight w:val="none"/>
                <w:lang w:val="en-US" w:eastAsia="zh-CN" w:bidi="zh-TW"/>
              </w:rPr>
              <w:t>售后服务方案（</w:t>
            </w:r>
            <w:r>
              <w:rPr>
                <w:rFonts w:hint="eastAsia" w:ascii="仿宋" w:hAnsi="仿宋" w:eastAsia="仿宋" w:cs="仿宋"/>
                <w:b w:val="0"/>
                <w:bCs w:val="0"/>
                <w:sz w:val="24"/>
                <w:szCs w:val="20"/>
                <w:lang w:val="en-US" w:eastAsia="zh-CN" w:bidi="zh-TW"/>
              </w:rPr>
              <w:t>5</w:t>
            </w:r>
            <w:r>
              <w:rPr>
                <w:rFonts w:hint="eastAsia" w:ascii="仿宋" w:hAnsi="仿宋" w:eastAsia="仿宋" w:cs="仿宋"/>
                <w:b w:val="0"/>
                <w:bCs w:val="0"/>
                <w:color w:val="auto"/>
                <w:sz w:val="24"/>
                <w:szCs w:val="20"/>
                <w:highlight w:val="none"/>
                <w:lang w:val="en-US" w:eastAsia="zh-CN" w:bidi="zh-TW"/>
              </w:rPr>
              <w:t>分）</w:t>
            </w:r>
          </w:p>
        </w:tc>
        <w:tc>
          <w:tcPr>
            <w:tcW w:w="3151" w:type="pct"/>
            <w:tcBorders>
              <w:tl2br w:val="nil"/>
              <w:tr2bl w:val="nil"/>
            </w:tcBorders>
            <w:vAlign w:val="top"/>
          </w:tcPr>
          <w:p w14:paraId="296ABC33">
            <w:pPr>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仿宋" w:hAnsi="仿宋" w:eastAsia="仿宋" w:cs="仿宋"/>
                <w:color w:val="auto"/>
                <w:sz w:val="24"/>
                <w:szCs w:val="24"/>
                <w:highlight w:val="none"/>
                <w:lang w:val="en-US" w:eastAsia="zh-CN" w:bidi="zh-TW"/>
              </w:rPr>
            </w:pPr>
            <w:r>
              <w:rPr>
                <w:rFonts w:hint="eastAsia" w:ascii="仿宋" w:hAnsi="仿宋" w:eastAsia="仿宋" w:cs="仿宋"/>
                <w:color w:val="auto"/>
                <w:sz w:val="24"/>
                <w:szCs w:val="24"/>
                <w:highlight w:val="none"/>
                <w:lang w:val="en-US" w:eastAsia="zh-CN" w:bidi="zh-TW"/>
              </w:rPr>
              <w:t>供应商提供针对本项目的售后服务方案，方案包含但不限于①运维服务体系；②售后服务内容；③应急响应预案；④重大活动及节假日保障。</w:t>
            </w:r>
          </w:p>
          <w:p w14:paraId="3674C11E">
            <w:pPr>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仿宋" w:hAnsi="仿宋" w:eastAsia="仿宋" w:cs="仿宋"/>
                <w:color w:val="auto"/>
                <w:sz w:val="24"/>
                <w:szCs w:val="24"/>
                <w:highlight w:val="none"/>
                <w:lang w:val="en-US" w:eastAsia="zh-CN" w:bidi="zh-TW"/>
              </w:rPr>
            </w:pPr>
            <w:r>
              <w:rPr>
                <w:rFonts w:hint="eastAsia" w:ascii="仿宋" w:hAnsi="仿宋" w:eastAsia="仿宋" w:cs="仿宋"/>
                <w:color w:val="auto"/>
                <w:sz w:val="24"/>
                <w:szCs w:val="24"/>
                <w:highlight w:val="none"/>
                <w:lang w:val="en-US" w:eastAsia="zh-CN" w:bidi="zh-TW"/>
              </w:rPr>
              <w:t>方案内容完整、阐述精确、内容科学合理得5分；</w:t>
            </w:r>
          </w:p>
          <w:p w14:paraId="228DCCF3">
            <w:pPr>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仿宋" w:hAnsi="仿宋" w:eastAsia="仿宋" w:cs="仿宋"/>
                <w:color w:val="auto"/>
                <w:sz w:val="24"/>
                <w:szCs w:val="24"/>
                <w:highlight w:val="none"/>
                <w:lang w:val="en-US" w:eastAsia="zh-CN" w:bidi="zh-TW"/>
              </w:rPr>
            </w:pPr>
            <w:r>
              <w:rPr>
                <w:rFonts w:hint="eastAsia" w:ascii="仿宋" w:hAnsi="仿宋" w:eastAsia="仿宋" w:cs="仿宋"/>
                <w:color w:val="auto"/>
                <w:sz w:val="24"/>
                <w:szCs w:val="24"/>
                <w:highlight w:val="none"/>
                <w:lang w:val="en-US" w:eastAsia="zh-CN" w:bidi="zh-TW"/>
              </w:rPr>
              <w:t>方案内容较完整、阐述较精确、较为科学合理的得3分；</w:t>
            </w:r>
          </w:p>
          <w:p w14:paraId="2E916C4F">
            <w:pPr>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仿宋" w:hAnsi="仿宋" w:eastAsia="仿宋" w:cs="仿宋"/>
                <w:color w:val="auto"/>
                <w:sz w:val="24"/>
                <w:szCs w:val="24"/>
                <w:highlight w:val="none"/>
                <w:lang w:val="en-US" w:eastAsia="zh-CN" w:bidi="zh-TW"/>
              </w:rPr>
            </w:pPr>
            <w:r>
              <w:rPr>
                <w:rFonts w:hint="eastAsia" w:ascii="仿宋" w:hAnsi="仿宋" w:eastAsia="仿宋" w:cs="仿宋"/>
                <w:color w:val="auto"/>
                <w:sz w:val="24"/>
                <w:szCs w:val="24"/>
                <w:highlight w:val="none"/>
                <w:lang w:val="en-US" w:eastAsia="zh-CN" w:bidi="zh-TW"/>
              </w:rPr>
              <w:t>所提供方案内容基本完成、科学合理性一般的得1分；</w:t>
            </w:r>
          </w:p>
          <w:p w14:paraId="16B6C0AD">
            <w:pPr>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仿宋" w:hAnsi="仿宋" w:eastAsia="仿宋" w:cs="仿宋"/>
                <w:color w:val="auto"/>
                <w:sz w:val="24"/>
                <w:szCs w:val="24"/>
                <w:highlight w:val="none"/>
                <w:lang w:val="en-US" w:eastAsia="zh-CN" w:bidi="zh-TW"/>
              </w:rPr>
            </w:pPr>
            <w:r>
              <w:rPr>
                <w:rFonts w:hint="eastAsia" w:ascii="仿宋" w:hAnsi="仿宋" w:eastAsia="仿宋" w:cs="仿宋"/>
                <w:color w:val="auto"/>
                <w:sz w:val="24"/>
                <w:szCs w:val="24"/>
                <w:highlight w:val="none"/>
                <w:lang w:val="en-US" w:eastAsia="zh-CN" w:bidi="zh-TW"/>
              </w:rPr>
              <w:t>所提供方案内容不全、缺失合理性的，或其余情况不得分。</w:t>
            </w:r>
          </w:p>
          <w:p w14:paraId="6F8BD68C">
            <w:pPr>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仿宋" w:hAnsi="仿宋" w:eastAsia="仿宋" w:cs="仿宋"/>
                <w:b/>
                <w:bCs/>
                <w:i w:val="0"/>
                <w:iCs w:val="0"/>
                <w:color w:val="000000" w:themeColor="text1"/>
                <w:kern w:val="2"/>
                <w:sz w:val="24"/>
                <w:lang w:val="en-US" w:eastAsia="zh-CN" w:bidi="ar-SA"/>
                <w14:textFill>
                  <w14:solidFill>
                    <w14:schemeClr w14:val="tx1"/>
                  </w14:solidFill>
                </w14:textFill>
              </w:rPr>
            </w:pPr>
            <w:r>
              <w:rPr>
                <w:rFonts w:hint="eastAsia" w:ascii="仿宋" w:hAnsi="仿宋" w:eastAsia="仿宋" w:cs="仿宋"/>
                <w:b/>
                <w:bCs/>
                <w:color w:val="000000" w:themeColor="text1"/>
                <w:sz w:val="24"/>
                <w:szCs w:val="20"/>
                <w:highlight w:val="none"/>
                <w:lang w:val="en-US" w:eastAsia="zh-CN" w:bidi="ar-SA"/>
                <w14:textFill>
                  <w14:solidFill>
                    <w14:schemeClr w14:val="tx1"/>
                  </w14:solidFill>
                </w14:textFill>
              </w:rPr>
              <w:t>评审依据：响应文件中提供的售后服务方案加盖供应商公章</w:t>
            </w:r>
            <w:r>
              <w:rPr>
                <w:rFonts w:hint="eastAsia" w:ascii="仿宋" w:hAnsi="仿宋" w:eastAsia="仿宋" w:cs="仿宋"/>
                <w:b/>
                <w:bCs/>
                <w:kern w:val="2"/>
                <w:sz w:val="24"/>
                <w:lang w:val="en-US" w:eastAsia="zh-CN" w:bidi="ar-SA"/>
              </w:rPr>
              <w:t>或投标专用章</w:t>
            </w:r>
            <w:r>
              <w:rPr>
                <w:rFonts w:hint="eastAsia" w:ascii="仿宋" w:hAnsi="仿宋" w:eastAsia="仿宋" w:cs="仿宋"/>
                <w:b/>
                <w:bCs/>
                <w:color w:val="000000" w:themeColor="text1"/>
                <w:sz w:val="24"/>
                <w:szCs w:val="20"/>
                <w:highlight w:val="none"/>
                <w:lang w:val="en-US" w:eastAsia="zh-CN" w:bidi="ar-SA"/>
                <w14:textFill>
                  <w14:solidFill>
                    <w14:schemeClr w14:val="tx1"/>
                  </w14:solidFill>
                </w14:textFill>
              </w:rPr>
              <w:t>。</w:t>
            </w:r>
          </w:p>
        </w:tc>
        <w:tc>
          <w:tcPr>
            <w:tcW w:w="367" w:type="pct"/>
            <w:tcBorders>
              <w:tl2br w:val="nil"/>
              <w:tr2bl w:val="nil"/>
            </w:tcBorders>
            <w:vAlign w:val="center"/>
          </w:tcPr>
          <w:p w14:paraId="364F585E">
            <w:pPr>
              <w:adjustRightInd w:val="0"/>
              <w:snapToGrid w:val="0"/>
              <w:spacing w:beforeLines="0" w:afterLines="0" w:line="240" w:lineRule="auto"/>
              <w:ind w:left="0" w:leftChars="0" w:firstLine="0" w:firstLineChars="0"/>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5分</w:t>
            </w:r>
          </w:p>
        </w:tc>
      </w:tr>
      <w:tr w14:paraId="7B3A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2" w:type="pct"/>
            <w:vMerge w:val="continue"/>
            <w:tcBorders>
              <w:tl2br w:val="nil"/>
              <w:tr2bl w:val="nil"/>
            </w:tcBorders>
            <w:vAlign w:val="center"/>
          </w:tcPr>
          <w:p w14:paraId="1CAE3146">
            <w:pPr>
              <w:adjustRightInd w:val="0"/>
              <w:snapToGrid w:val="0"/>
              <w:spacing w:beforeLines="0" w:afterLines="0" w:line="240" w:lineRule="auto"/>
              <w:ind w:left="0" w:leftChars="0" w:firstLine="0" w:firstLineChars="0"/>
              <w:jc w:val="center"/>
              <w:rPr>
                <w:rFonts w:hint="eastAsia" w:ascii="仿宋" w:hAnsi="仿宋" w:eastAsia="仿宋" w:cs="仿宋"/>
                <w:b/>
                <w:bCs/>
                <w:sz w:val="24"/>
                <w:szCs w:val="24"/>
                <w:lang w:val="en-US" w:eastAsia="zh-CN"/>
              </w:rPr>
            </w:pPr>
          </w:p>
        </w:tc>
        <w:tc>
          <w:tcPr>
            <w:tcW w:w="558" w:type="pct"/>
            <w:vMerge w:val="continue"/>
            <w:tcBorders>
              <w:tl2br w:val="nil"/>
              <w:tr2bl w:val="nil"/>
            </w:tcBorders>
            <w:vAlign w:val="center"/>
          </w:tcPr>
          <w:p w14:paraId="11D743FD">
            <w:pPr>
              <w:pStyle w:val="20"/>
              <w:adjustRightInd w:val="0"/>
              <w:snapToGrid w:val="0"/>
              <w:spacing w:before="0" w:beforeLines="0" w:after="0" w:afterLines="0" w:line="240" w:lineRule="auto"/>
              <w:ind w:firstLine="0" w:firstLineChars="0"/>
              <w:jc w:val="center"/>
              <w:rPr>
                <w:rFonts w:hint="eastAsia" w:ascii="仿宋" w:hAnsi="仿宋" w:eastAsia="仿宋" w:cs="仿宋"/>
                <w:color w:val="000000" w:themeColor="text1"/>
                <w:kern w:val="2"/>
                <w:sz w:val="24"/>
                <w:lang w:val="en-US" w:eastAsia="zh-CN" w:bidi="ar-SA"/>
                <w14:textFill>
                  <w14:solidFill>
                    <w14:schemeClr w14:val="tx1"/>
                  </w14:solidFill>
                </w14:textFill>
              </w:rPr>
            </w:pPr>
          </w:p>
        </w:tc>
        <w:tc>
          <w:tcPr>
            <w:tcW w:w="560" w:type="pct"/>
            <w:tcBorders>
              <w:tl2br w:val="nil"/>
              <w:tr2bl w:val="nil"/>
            </w:tcBorders>
            <w:vAlign w:val="center"/>
          </w:tcPr>
          <w:p w14:paraId="4728FD18">
            <w:pPr>
              <w:pStyle w:val="20"/>
              <w:adjustRightInd w:val="0"/>
              <w:snapToGrid w:val="0"/>
              <w:spacing w:before="0" w:beforeLines="0" w:after="0" w:afterLines="0" w:line="240" w:lineRule="auto"/>
              <w:jc w:val="center"/>
              <w:rPr>
                <w:rFonts w:hint="eastAsia" w:ascii="仿宋" w:hAnsi="仿宋" w:eastAsia="仿宋" w:cs="仿宋"/>
                <w:b w:val="0"/>
                <w:bCs w:val="0"/>
              </w:rPr>
            </w:pPr>
            <w:r>
              <w:rPr>
                <w:rFonts w:hint="eastAsia" w:ascii="仿宋" w:hAnsi="仿宋" w:eastAsia="仿宋" w:cs="仿宋"/>
                <w:b w:val="0"/>
                <w:bCs w:val="0"/>
              </w:rPr>
              <w:t>系统功能演示</w:t>
            </w:r>
          </w:p>
          <w:p w14:paraId="3A8EF826">
            <w:pPr>
              <w:pStyle w:val="20"/>
              <w:adjustRightInd w:val="0"/>
              <w:snapToGrid w:val="0"/>
              <w:spacing w:before="0" w:beforeLines="0" w:after="0" w:afterLines="0" w:line="240" w:lineRule="auto"/>
              <w:ind w:firstLine="0" w:firstLineChars="0"/>
              <w:jc w:val="center"/>
              <w:rPr>
                <w:rFonts w:hint="eastAsia" w:ascii="仿宋" w:hAnsi="仿宋" w:eastAsia="仿宋" w:cs="仿宋"/>
                <w:b w:val="0"/>
                <w:bCs w:val="0"/>
                <w:color w:val="000000" w:themeColor="text1"/>
                <w:kern w:val="2"/>
                <w:sz w:val="24"/>
                <w:lang w:val="en-US" w:eastAsia="zh-CN" w:bidi="ar-SA"/>
                <w14:textFill>
                  <w14:solidFill>
                    <w14:schemeClr w14:val="tx1"/>
                  </w14:solidFill>
                </w14:textFill>
              </w:rPr>
            </w:pPr>
            <w:r>
              <w:rPr>
                <w:rFonts w:hint="eastAsia" w:ascii="仿宋" w:hAnsi="仿宋" w:eastAsia="仿宋" w:cs="仿宋"/>
                <w:b w:val="0"/>
                <w:bCs w:val="0"/>
                <w:lang w:eastAsia="zh-CN"/>
              </w:rPr>
              <w:t>（</w:t>
            </w:r>
            <w:r>
              <w:rPr>
                <w:rFonts w:hint="eastAsia" w:ascii="仿宋" w:hAnsi="仿宋" w:eastAsia="仿宋" w:cs="仿宋"/>
                <w:b w:val="0"/>
                <w:bCs w:val="0"/>
                <w:lang w:val="en-US" w:eastAsia="zh-CN"/>
              </w:rPr>
              <w:t>15分</w:t>
            </w:r>
            <w:r>
              <w:rPr>
                <w:rFonts w:hint="eastAsia" w:ascii="仿宋" w:hAnsi="仿宋" w:eastAsia="仿宋" w:cs="仿宋"/>
                <w:b w:val="0"/>
                <w:bCs w:val="0"/>
                <w:lang w:eastAsia="zh-CN"/>
              </w:rPr>
              <w:t>）</w:t>
            </w:r>
          </w:p>
        </w:tc>
        <w:tc>
          <w:tcPr>
            <w:tcW w:w="3151" w:type="pct"/>
            <w:tcBorders>
              <w:tl2br w:val="nil"/>
              <w:tr2bl w:val="nil"/>
            </w:tcBorders>
            <w:vAlign w:val="top"/>
          </w:tcPr>
          <w:p w14:paraId="6569AFDA">
            <w:pPr>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仿宋" w:hAnsi="仿宋" w:eastAsia="仿宋" w:cs="仿宋"/>
                <w:b/>
                <w:bCs/>
                <w:color w:val="auto"/>
                <w:sz w:val="24"/>
                <w:szCs w:val="24"/>
                <w:highlight w:val="none"/>
                <w:lang w:val="en-US" w:eastAsia="zh-CN" w:bidi="zh-TW"/>
              </w:rPr>
            </w:pPr>
            <w:r>
              <w:rPr>
                <w:rFonts w:hint="eastAsia" w:ascii="仿宋" w:hAnsi="仿宋" w:eastAsia="仿宋" w:cs="仿宋"/>
                <w:b/>
                <w:bCs/>
                <w:color w:val="auto"/>
                <w:sz w:val="24"/>
                <w:szCs w:val="24"/>
                <w:highlight w:val="none"/>
                <w:lang w:val="en-US" w:eastAsia="zh-CN" w:bidi="zh-TW"/>
              </w:rPr>
              <w:t>评分小组根据供应商提供的系统功能演示内容进行综合评审：</w:t>
            </w:r>
          </w:p>
          <w:p w14:paraId="406DEF5D">
            <w:pPr>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仿宋" w:hAnsi="仿宋" w:eastAsia="仿宋" w:cs="仿宋"/>
                <w:b w:val="0"/>
                <w:bCs w:val="0"/>
                <w:color w:val="auto"/>
                <w:sz w:val="24"/>
                <w:szCs w:val="24"/>
                <w:highlight w:val="none"/>
                <w:lang w:val="en-US" w:eastAsia="zh-CN" w:bidi="zh-TW"/>
              </w:rPr>
            </w:pPr>
            <w:r>
              <w:rPr>
                <w:rFonts w:hint="eastAsia" w:ascii="仿宋" w:hAnsi="仿宋" w:eastAsia="仿宋" w:cs="仿宋"/>
                <w:b w:val="0"/>
                <w:bCs w:val="0"/>
                <w:color w:val="auto"/>
                <w:sz w:val="24"/>
                <w:szCs w:val="24"/>
                <w:highlight w:val="none"/>
                <w:lang w:val="en-US" w:eastAsia="zh-CN" w:bidi="zh-TW"/>
              </w:rPr>
              <w:t>演示中所有要求功能指引清晰，操作简单明了；现场讲解思路清晰、项目理解深入的得12-15分；</w:t>
            </w:r>
          </w:p>
          <w:p w14:paraId="6EB63D95">
            <w:pPr>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仿宋" w:hAnsi="仿宋" w:eastAsia="仿宋" w:cs="仿宋"/>
                <w:b w:val="0"/>
                <w:bCs w:val="0"/>
                <w:color w:val="auto"/>
                <w:sz w:val="24"/>
                <w:szCs w:val="24"/>
                <w:highlight w:val="none"/>
                <w:lang w:val="en-US" w:eastAsia="zh-CN" w:bidi="zh-TW"/>
              </w:rPr>
            </w:pPr>
            <w:r>
              <w:rPr>
                <w:rFonts w:hint="eastAsia" w:ascii="仿宋" w:hAnsi="仿宋" w:eastAsia="仿宋" w:cs="仿宋"/>
                <w:b w:val="0"/>
                <w:bCs w:val="0"/>
                <w:color w:val="auto"/>
                <w:sz w:val="24"/>
                <w:szCs w:val="24"/>
                <w:highlight w:val="none"/>
                <w:lang w:val="en-US" w:eastAsia="zh-CN" w:bidi="zh-TW"/>
              </w:rPr>
              <w:t>演示中所有要求功能操作指引不清晰，操作较为简单；现场讲解思路较清晰、项目理解较深的得9-11分；</w:t>
            </w:r>
          </w:p>
          <w:p w14:paraId="37198E40">
            <w:pPr>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仿宋" w:hAnsi="仿宋" w:eastAsia="仿宋" w:cs="仿宋"/>
                <w:b w:val="0"/>
                <w:bCs w:val="0"/>
                <w:color w:val="auto"/>
                <w:sz w:val="24"/>
                <w:szCs w:val="24"/>
                <w:highlight w:val="none"/>
                <w:lang w:val="en-US" w:eastAsia="zh-CN" w:bidi="zh-TW"/>
              </w:rPr>
            </w:pPr>
            <w:r>
              <w:rPr>
                <w:rFonts w:hint="eastAsia" w:ascii="仿宋" w:hAnsi="仿宋" w:eastAsia="仿宋" w:cs="仿宋"/>
                <w:b w:val="0"/>
                <w:bCs w:val="0"/>
                <w:color w:val="auto"/>
                <w:sz w:val="24"/>
                <w:szCs w:val="24"/>
                <w:highlight w:val="none"/>
                <w:lang w:val="en-US" w:eastAsia="zh-CN" w:bidi="zh-TW"/>
              </w:rPr>
              <w:t>演示中所有要求功能操作指引有缺失，操作较为复杂；现场讲解一般、项目理解较浅的得6-8分；</w:t>
            </w:r>
          </w:p>
          <w:p w14:paraId="27240D96">
            <w:pPr>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仿宋" w:hAnsi="仿宋" w:eastAsia="仿宋" w:cs="仿宋"/>
                <w:b w:val="0"/>
                <w:bCs w:val="0"/>
                <w:color w:val="auto"/>
                <w:sz w:val="24"/>
                <w:szCs w:val="24"/>
                <w:highlight w:val="none"/>
                <w:lang w:val="en-US" w:eastAsia="zh-CN" w:bidi="zh-TW"/>
              </w:rPr>
            </w:pPr>
            <w:r>
              <w:rPr>
                <w:rFonts w:hint="eastAsia" w:ascii="仿宋" w:hAnsi="仿宋" w:eastAsia="仿宋" w:cs="仿宋"/>
                <w:b w:val="0"/>
                <w:bCs w:val="0"/>
                <w:color w:val="auto"/>
                <w:sz w:val="24"/>
                <w:szCs w:val="24"/>
                <w:highlight w:val="none"/>
                <w:lang w:val="en-US" w:eastAsia="zh-CN" w:bidi="zh-TW"/>
              </w:rPr>
              <w:t>演示中所要求功能没有操作指引，操作复杂；现场讲解混乱、对项目理解浅薄的得2-5分；</w:t>
            </w:r>
          </w:p>
          <w:p w14:paraId="24E8053F">
            <w:pPr>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仿宋" w:hAnsi="仿宋" w:eastAsia="仿宋" w:cs="仿宋"/>
                <w:b w:val="0"/>
                <w:bCs w:val="0"/>
                <w:color w:val="auto"/>
                <w:sz w:val="24"/>
                <w:szCs w:val="24"/>
                <w:highlight w:val="none"/>
                <w:lang w:val="en-US" w:eastAsia="zh-CN" w:bidi="zh-TW"/>
              </w:rPr>
            </w:pPr>
            <w:r>
              <w:rPr>
                <w:rFonts w:hint="eastAsia" w:ascii="仿宋" w:hAnsi="仿宋" w:eastAsia="仿宋" w:cs="仿宋"/>
                <w:b w:val="0"/>
                <w:bCs w:val="0"/>
                <w:color w:val="auto"/>
                <w:sz w:val="24"/>
                <w:szCs w:val="24"/>
                <w:highlight w:val="none"/>
                <w:lang w:val="en-US" w:eastAsia="zh-CN" w:bidi="zh-TW"/>
              </w:rPr>
              <w:t>未提供演示文件的不得分。</w:t>
            </w:r>
          </w:p>
          <w:p w14:paraId="693B59C5">
            <w:pPr>
              <w:adjustRightInd w:val="0"/>
              <w:snapToGrid w:val="0"/>
              <w:spacing w:beforeLines="0" w:afterLines="0" w:line="240" w:lineRule="auto"/>
              <w:ind w:firstLine="0" w:firstLineChars="0"/>
              <w:rPr>
                <w:rFonts w:hint="eastAsia" w:ascii="仿宋" w:hAnsi="仿宋" w:eastAsia="仿宋" w:cs="仿宋"/>
                <w:b/>
                <w:bCs/>
                <w:color w:val="auto"/>
                <w:sz w:val="24"/>
                <w:szCs w:val="24"/>
                <w:highlight w:val="none"/>
                <w:lang w:val="en-US" w:eastAsia="zh-CN" w:bidi="zh-TW"/>
              </w:rPr>
            </w:pPr>
            <w:r>
              <w:rPr>
                <w:rFonts w:hint="eastAsia" w:ascii="仿宋" w:hAnsi="仿宋" w:eastAsia="仿宋" w:cs="仿宋"/>
                <w:b/>
                <w:bCs/>
                <w:color w:val="auto"/>
                <w:sz w:val="24"/>
                <w:szCs w:val="24"/>
                <w:highlight w:val="none"/>
                <w:lang w:val="en-US" w:eastAsia="zh-CN" w:bidi="zh-TW"/>
              </w:rPr>
              <w:t>评审依据：供应商提供的录制好的演示文件（电子u盘，于响应文件递交截止时间前密封提交）及现场视频讲解。</w:t>
            </w:r>
          </w:p>
          <w:p w14:paraId="2F7179F6">
            <w:pPr>
              <w:adjustRightInd w:val="0"/>
              <w:snapToGrid w:val="0"/>
              <w:spacing w:beforeLines="0" w:afterLines="0" w:line="240" w:lineRule="auto"/>
              <w:ind w:firstLine="0" w:firstLineChars="0"/>
              <w:rPr>
                <w:rFonts w:hint="eastAsia" w:ascii="仿宋" w:hAnsi="仿宋" w:eastAsia="仿宋" w:cs="仿宋"/>
                <w:b/>
                <w:bCs/>
                <w:i w:val="0"/>
                <w:iCs w:val="0"/>
                <w:color w:val="000000" w:themeColor="text1"/>
                <w:kern w:val="2"/>
                <w:sz w:val="24"/>
                <w:lang w:val="en-US" w:eastAsia="zh-CN" w:bidi="ar-SA"/>
                <w14:textFill>
                  <w14:solidFill>
                    <w14:schemeClr w14:val="tx1"/>
                  </w14:solidFill>
                </w14:textFill>
              </w:rPr>
            </w:pPr>
            <w:r>
              <w:rPr>
                <w:rFonts w:hint="eastAsia" w:ascii="仿宋" w:hAnsi="仿宋" w:eastAsia="仿宋" w:cs="仿宋"/>
                <w:b/>
                <w:bCs/>
                <w:color w:val="auto"/>
                <w:sz w:val="24"/>
                <w:szCs w:val="24"/>
                <w:highlight w:val="none"/>
                <w:lang w:val="en-US" w:eastAsia="zh-CN" w:bidi="zh-TW"/>
              </w:rPr>
              <w:t>注：供应商需将演示文件拷贝至U盘，演示文件时长不得超过10分钟，于响应文件递交截止时间前密封提交。演示文件的视频格式为mp4，如因格式问题导致文件不能正常打开，造成的后果由供应商自行承担。</w:t>
            </w:r>
          </w:p>
        </w:tc>
        <w:tc>
          <w:tcPr>
            <w:tcW w:w="367" w:type="pct"/>
            <w:tcBorders>
              <w:tl2br w:val="nil"/>
              <w:tr2bl w:val="nil"/>
            </w:tcBorders>
            <w:vAlign w:val="center"/>
          </w:tcPr>
          <w:p w14:paraId="283DE196">
            <w:pPr>
              <w:adjustRightInd w:val="0"/>
              <w:snapToGrid w:val="0"/>
              <w:spacing w:beforeLines="0" w:afterLines="0" w:line="240" w:lineRule="auto"/>
              <w:ind w:left="0" w:leftChars="0" w:firstLine="0" w:firstLineChars="0"/>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15分</w:t>
            </w:r>
          </w:p>
        </w:tc>
      </w:tr>
      <w:tr w14:paraId="716D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2" w:type="pct"/>
            <w:vMerge w:val="continue"/>
            <w:tcBorders>
              <w:tl2br w:val="nil"/>
              <w:tr2bl w:val="nil"/>
            </w:tcBorders>
            <w:vAlign w:val="center"/>
          </w:tcPr>
          <w:p w14:paraId="166A04A4">
            <w:pPr>
              <w:adjustRightInd w:val="0"/>
              <w:snapToGrid w:val="0"/>
              <w:spacing w:beforeLines="0" w:afterLines="0" w:line="240" w:lineRule="auto"/>
              <w:ind w:firstLine="0" w:firstLineChars="0"/>
              <w:jc w:val="center"/>
              <w:rPr>
                <w:rFonts w:hint="eastAsia" w:ascii="仿宋" w:hAnsi="仿宋" w:eastAsia="仿宋" w:cs="仿宋"/>
                <w:b/>
                <w:bCs/>
                <w:sz w:val="24"/>
                <w:szCs w:val="24"/>
                <w:lang w:val="en-US" w:eastAsia="zh-CN"/>
              </w:rPr>
            </w:pPr>
          </w:p>
        </w:tc>
        <w:tc>
          <w:tcPr>
            <w:tcW w:w="558" w:type="pct"/>
            <w:vMerge w:val="continue"/>
            <w:tcBorders>
              <w:tl2br w:val="nil"/>
              <w:tr2bl w:val="nil"/>
            </w:tcBorders>
            <w:vAlign w:val="center"/>
          </w:tcPr>
          <w:p w14:paraId="1A077CEE">
            <w:pPr>
              <w:adjustRightInd w:val="0"/>
              <w:snapToGrid w:val="0"/>
              <w:spacing w:beforeLines="0" w:afterLines="0" w:line="240" w:lineRule="auto"/>
              <w:ind w:firstLine="0" w:firstLineChars="0"/>
              <w:jc w:val="center"/>
              <w:rPr>
                <w:rFonts w:hint="eastAsia" w:ascii="仿宋" w:hAnsi="仿宋" w:eastAsia="仿宋" w:cs="仿宋"/>
                <w:color w:val="000000" w:themeColor="text1"/>
                <w:kern w:val="2"/>
                <w:sz w:val="24"/>
                <w:lang w:val="en-US" w:eastAsia="zh-CN" w:bidi="ar-SA"/>
                <w14:textFill>
                  <w14:solidFill>
                    <w14:schemeClr w14:val="tx1"/>
                  </w14:solidFill>
                </w14:textFill>
              </w:rPr>
            </w:pPr>
          </w:p>
        </w:tc>
        <w:tc>
          <w:tcPr>
            <w:tcW w:w="560" w:type="pct"/>
            <w:tcBorders>
              <w:tl2br w:val="nil"/>
              <w:tr2bl w:val="nil"/>
            </w:tcBorders>
            <w:vAlign w:val="center"/>
          </w:tcPr>
          <w:p w14:paraId="71084536">
            <w:pPr>
              <w:adjustRightInd w:val="0"/>
              <w:snapToGrid w:val="0"/>
              <w:spacing w:beforeLines="0" w:afterLines="0" w:line="240" w:lineRule="auto"/>
              <w:ind w:firstLine="0" w:firstLineChars="0"/>
              <w:jc w:val="center"/>
              <w:rPr>
                <w:rFonts w:hint="eastAsia" w:ascii="仿宋" w:hAnsi="仿宋" w:eastAsia="仿宋" w:cs="仿宋"/>
                <w:b w:val="0"/>
                <w:bCs w:val="0"/>
                <w:caps/>
                <w:kern w:val="2"/>
                <w:sz w:val="24"/>
                <w:szCs w:val="24"/>
                <w:lang w:val="en-US" w:eastAsia="zh-CN" w:bidi="ar-SA"/>
              </w:rPr>
            </w:pPr>
            <w:r>
              <w:rPr>
                <w:rFonts w:hint="eastAsia" w:ascii="仿宋" w:hAnsi="仿宋" w:eastAsia="仿宋" w:cs="仿宋"/>
                <w:b w:val="0"/>
                <w:bCs w:val="0"/>
                <w:caps/>
                <w:kern w:val="2"/>
                <w:sz w:val="24"/>
                <w:szCs w:val="24"/>
                <w:lang w:val="en-US" w:eastAsia="zh-CN" w:bidi="ar-SA"/>
              </w:rPr>
              <w:t>系统要求</w:t>
            </w:r>
            <w:r>
              <w:rPr>
                <w:rFonts w:hint="eastAsia" w:ascii="仿宋" w:hAnsi="仿宋" w:eastAsia="仿宋" w:cs="仿宋"/>
                <w:b w:val="0"/>
                <w:bCs w:val="0"/>
                <w:caps/>
                <w:kern w:val="2"/>
                <w:sz w:val="24"/>
                <w:szCs w:val="24"/>
                <w:lang w:val="en-US" w:eastAsia="zh-CN" w:bidi="ar-SA"/>
              </w:rPr>
              <w:br w:type="textWrapping"/>
            </w:r>
            <w:r>
              <w:rPr>
                <w:rFonts w:hint="eastAsia" w:ascii="仿宋" w:hAnsi="仿宋" w:eastAsia="仿宋" w:cs="仿宋"/>
                <w:b w:val="0"/>
                <w:bCs w:val="0"/>
                <w:caps/>
                <w:kern w:val="2"/>
                <w:sz w:val="24"/>
                <w:szCs w:val="24"/>
                <w:lang w:val="en-US" w:eastAsia="zh-CN" w:bidi="ar-SA"/>
              </w:rPr>
              <w:t>（5分）</w:t>
            </w:r>
          </w:p>
          <w:p w14:paraId="37B2BE7C">
            <w:pPr>
              <w:adjustRightInd w:val="0"/>
              <w:snapToGrid w:val="0"/>
              <w:spacing w:beforeLines="0" w:afterLines="0" w:line="240" w:lineRule="auto"/>
              <w:ind w:firstLine="0" w:firstLineChars="0"/>
              <w:jc w:val="center"/>
              <w:rPr>
                <w:rFonts w:hint="eastAsia" w:ascii="仿宋" w:hAnsi="仿宋" w:eastAsia="仿宋" w:cs="仿宋"/>
                <w:color w:val="000000" w:themeColor="text1"/>
                <w:kern w:val="2"/>
                <w:sz w:val="24"/>
                <w:lang w:val="en-US" w:eastAsia="zh-CN" w:bidi="ar-SA"/>
                <w14:textFill>
                  <w14:solidFill>
                    <w14:schemeClr w14:val="tx1"/>
                  </w14:solidFill>
                </w14:textFill>
              </w:rPr>
            </w:pPr>
          </w:p>
        </w:tc>
        <w:tc>
          <w:tcPr>
            <w:tcW w:w="3151" w:type="pct"/>
            <w:tcBorders>
              <w:tl2br w:val="nil"/>
              <w:tr2bl w:val="nil"/>
            </w:tcBorders>
            <w:vAlign w:val="center"/>
          </w:tcPr>
          <w:p w14:paraId="315702CC">
            <w:pPr>
              <w:adjustRightInd w:val="0"/>
              <w:snapToGrid w:val="0"/>
              <w:spacing w:beforeLines="0" w:afterLines="0" w:line="240" w:lineRule="auto"/>
              <w:ind w:firstLine="0" w:firstLineChars="0"/>
              <w:rPr>
                <w:rFonts w:hint="eastAsia" w:ascii="仿宋" w:hAnsi="仿宋" w:eastAsia="仿宋" w:cs="仿宋"/>
                <w:b w:val="0"/>
                <w:bCs w:val="0"/>
                <w:caps/>
                <w:kern w:val="2"/>
                <w:sz w:val="24"/>
                <w:szCs w:val="24"/>
                <w:lang w:val="en-US" w:eastAsia="zh-CN" w:bidi="ar-SA"/>
              </w:rPr>
            </w:pPr>
            <w:r>
              <w:rPr>
                <w:rFonts w:hint="eastAsia" w:ascii="仿宋" w:hAnsi="仿宋" w:eastAsia="仿宋" w:cs="仿宋"/>
                <w:b w:val="0"/>
                <w:bCs w:val="0"/>
                <w:caps/>
                <w:kern w:val="2"/>
                <w:sz w:val="24"/>
                <w:szCs w:val="24"/>
                <w:lang w:val="en-US" w:eastAsia="zh-CN" w:bidi="ar-SA"/>
              </w:rPr>
              <w:t>1）产品自主可控，支持国产数据库、国产操作系统的，每满足1项得1分，满分2分。</w:t>
            </w:r>
          </w:p>
          <w:p w14:paraId="2B6DF465">
            <w:pPr>
              <w:adjustRightInd w:val="0"/>
              <w:snapToGrid w:val="0"/>
              <w:spacing w:beforeLines="0" w:afterLines="0" w:line="240" w:lineRule="auto"/>
              <w:ind w:firstLine="0" w:firstLineChars="0"/>
              <w:rPr>
                <w:rFonts w:hint="eastAsia" w:ascii="仿宋" w:hAnsi="仿宋" w:eastAsia="仿宋" w:cs="仿宋"/>
                <w:b/>
                <w:bCs/>
              </w:rPr>
            </w:pPr>
            <w:r>
              <w:rPr>
                <w:rFonts w:hint="eastAsia" w:ascii="仿宋" w:hAnsi="仿宋" w:eastAsia="仿宋" w:cs="仿宋"/>
                <w:b/>
                <w:bCs/>
                <w:caps/>
                <w:kern w:val="2"/>
                <w:sz w:val="24"/>
                <w:szCs w:val="24"/>
                <w:lang w:val="en-US" w:eastAsia="zh-CN" w:bidi="ar-SA"/>
              </w:rPr>
              <w:t>评审依据：响应文件中提供计算机软件著作权登记证书、产品兼容互认证证明文件复印件加盖供应商公章</w:t>
            </w:r>
            <w:r>
              <w:rPr>
                <w:rFonts w:hint="eastAsia" w:ascii="仿宋" w:hAnsi="仿宋" w:eastAsia="仿宋" w:cs="仿宋"/>
                <w:b/>
                <w:bCs/>
                <w:kern w:val="2"/>
                <w:sz w:val="24"/>
                <w:lang w:val="en-US" w:eastAsia="zh-CN" w:bidi="ar-SA"/>
              </w:rPr>
              <w:t>或投标专用章</w:t>
            </w:r>
            <w:r>
              <w:rPr>
                <w:rFonts w:hint="eastAsia" w:ascii="仿宋" w:hAnsi="仿宋" w:eastAsia="仿宋" w:cs="仿宋"/>
                <w:b/>
                <w:bCs/>
                <w:caps/>
                <w:kern w:val="2"/>
                <w:sz w:val="24"/>
                <w:szCs w:val="24"/>
                <w:lang w:val="en-US" w:eastAsia="zh-CN" w:bidi="ar-SA"/>
              </w:rPr>
              <w:t>。</w:t>
            </w:r>
          </w:p>
          <w:p w14:paraId="74589896">
            <w:pPr>
              <w:adjustRightInd w:val="0"/>
              <w:snapToGrid w:val="0"/>
              <w:spacing w:beforeLines="0" w:afterLines="0" w:line="240" w:lineRule="auto"/>
              <w:ind w:firstLine="0" w:firstLineChars="0"/>
              <w:rPr>
                <w:rFonts w:hint="eastAsia" w:ascii="仿宋" w:hAnsi="仿宋" w:eastAsia="仿宋" w:cs="仿宋"/>
                <w:b w:val="0"/>
                <w:bCs w:val="0"/>
                <w:caps/>
                <w:kern w:val="2"/>
                <w:sz w:val="24"/>
                <w:szCs w:val="24"/>
                <w:lang w:val="en-US" w:eastAsia="zh-CN" w:bidi="ar-SA"/>
              </w:rPr>
            </w:pPr>
            <w:r>
              <w:rPr>
                <w:rFonts w:hint="eastAsia" w:ascii="仿宋" w:hAnsi="仿宋" w:eastAsia="仿宋" w:cs="仿宋"/>
                <w:b w:val="0"/>
                <w:bCs w:val="0"/>
                <w:caps/>
                <w:kern w:val="2"/>
                <w:sz w:val="24"/>
                <w:szCs w:val="24"/>
                <w:lang w:val="en-US" w:eastAsia="zh-CN" w:bidi="ar-SA"/>
              </w:rPr>
              <w:t>2）稳定性压力测试评审：能满足招标文件要求保证系统能连续不断工作，软件版本升级或改进不影响业务情况并能保证系统稳定、平滑过渡，能支持20万以上并发用户应用的得3分。</w:t>
            </w:r>
          </w:p>
          <w:p w14:paraId="1EDC12B5">
            <w:pPr>
              <w:adjustRightInd w:val="0"/>
              <w:snapToGrid w:val="0"/>
              <w:spacing w:beforeLines="0" w:afterLines="0" w:line="240" w:lineRule="auto"/>
              <w:ind w:firstLine="0" w:firstLineChars="0"/>
              <w:jc w:val="left"/>
              <w:rPr>
                <w:rFonts w:hint="eastAsia" w:ascii="仿宋" w:hAnsi="仿宋" w:eastAsia="仿宋" w:cs="仿宋"/>
                <w:b/>
                <w:bCs/>
                <w:i w:val="0"/>
                <w:iCs w:val="0"/>
                <w:color w:val="000000" w:themeColor="text1"/>
                <w:kern w:val="2"/>
                <w:sz w:val="24"/>
                <w:lang w:val="en-US" w:eastAsia="zh-CN" w:bidi="ar-SA"/>
                <w14:textFill>
                  <w14:solidFill>
                    <w14:schemeClr w14:val="tx1"/>
                  </w14:solidFill>
                </w14:textFill>
              </w:rPr>
            </w:pPr>
            <w:r>
              <w:rPr>
                <w:rFonts w:hint="eastAsia" w:ascii="仿宋" w:hAnsi="仿宋" w:eastAsia="仿宋" w:cs="仿宋"/>
                <w:b/>
                <w:bCs/>
                <w:caps/>
                <w:kern w:val="2"/>
                <w:sz w:val="24"/>
                <w:szCs w:val="24"/>
                <w:lang w:val="en-US" w:eastAsia="zh-CN" w:bidi="ar-SA"/>
              </w:rPr>
              <w:t>评审依据：响应文件中提供压力测试报告复印件加盖供应商公章</w:t>
            </w:r>
            <w:r>
              <w:rPr>
                <w:rFonts w:hint="eastAsia" w:ascii="仿宋" w:hAnsi="仿宋" w:eastAsia="仿宋" w:cs="仿宋"/>
                <w:b/>
                <w:bCs/>
                <w:kern w:val="2"/>
                <w:sz w:val="24"/>
                <w:lang w:val="en-US" w:eastAsia="zh-CN" w:bidi="ar-SA"/>
              </w:rPr>
              <w:t>或投标专用章</w:t>
            </w:r>
            <w:r>
              <w:rPr>
                <w:rFonts w:hint="eastAsia" w:ascii="仿宋" w:hAnsi="仿宋" w:eastAsia="仿宋" w:cs="仿宋"/>
                <w:b/>
                <w:bCs/>
                <w:caps/>
                <w:kern w:val="2"/>
                <w:sz w:val="24"/>
                <w:szCs w:val="24"/>
                <w:lang w:val="en-US" w:eastAsia="zh-CN" w:bidi="ar-SA"/>
              </w:rPr>
              <w:t>，未提供或提供不符不得分。</w:t>
            </w:r>
          </w:p>
        </w:tc>
        <w:tc>
          <w:tcPr>
            <w:tcW w:w="367" w:type="pct"/>
            <w:tcBorders>
              <w:tl2br w:val="nil"/>
              <w:tr2bl w:val="nil"/>
            </w:tcBorders>
            <w:vAlign w:val="center"/>
          </w:tcPr>
          <w:p w14:paraId="20ED4FCC">
            <w:pPr>
              <w:adjustRightInd w:val="0"/>
              <w:snapToGrid w:val="0"/>
              <w:spacing w:beforeLines="0" w:afterLines="0" w:line="240" w:lineRule="auto"/>
              <w:ind w:left="0" w:leftChars="0" w:firstLine="0" w:firstLineChars="0"/>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5分</w:t>
            </w:r>
          </w:p>
        </w:tc>
      </w:tr>
      <w:tr w14:paraId="379E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2" w:type="pct"/>
            <w:vMerge w:val="continue"/>
            <w:tcBorders>
              <w:tl2br w:val="nil"/>
              <w:tr2bl w:val="nil"/>
            </w:tcBorders>
            <w:vAlign w:val="center"/>
          </w:tcPr>
          <w:p w14:paraId="551F2B4D">
            <w:pPr>
              <w:adjustRightInd w:val="0"/>
              <w:snapToGrid w:val="0"/>
              <w:spacing w:beforeLines="0" w:afterLines="0" w:line="240" w:lineRule="auto"/>
              <w:ind w:firstLine="0" w:firstLineChars="0"/>
              <w:jc w:val="center"/>
              <w:rPr>
                <w:rFonts w:hint="eastAsia" w:ascii="仿宋" w:hAnsi="仿宋" w:eastAsia="仿宋" w:cs="仿宋"/>
                <w:b/>
                <w:bCs/>
                <w:sz w:val="24"/>
                <w:szCs w:val="24"/>
                <w:lang w:val="en-US" w:eastAsia="zh-CN"/>
              </w:rPr>
            </w:pPr>
          </w:p>
        </w:tc>
        <w:tc>
          <w:tcPr>
            <w:tcW w:w="558" w:type="pct"/>
            <w:vMerge w:val="continue"/>
            <w:tcBorders>
              <w:tl2br w:val="nil"/>
              <w:tr2bl w:val="nil"/>
            </w:tcBorders>
            <w:vAlign w:val="center"/>
          </w:tcPr>
          <w:p w14:paraId="3EAA7AC3">
            <w:pPr>
              <w:adjustRightInd w:val="0"/>
              <w:snapToGrid w:val="0"/>
              <w:spacing w:beforeLines="0" w:afterLines="0" w:line="240" w:lineRule="auto"/>
              <w:ind w:firstLine="0" w:firstLineChars="0"/>
              <w:jc w:val="center"/>
              <w:rPr>
                <w:rFonts w:hint="eastAsia" w:ascii="仿宋" w:hAnsi="仿宋" w:eastAsia="仿宋" w:cs="仿宋"/>
                <w:color w:val="000000" w:themeColor="text1"/>
                <w:kern w:val="2"/>
                <w:sz w:val="24"/>
                <w:lang w:val="en-US" w:eastAsia="zh-CN" w:bidi="ar-SA"/>
                <w14:textFill>
                  <w14:solidFill>
                    <w14:schemeClr w14:val="tx1"/>
                  </w14:solidFill>
                </w14:textFill>
              </w:rPr>
            </w:pPr>
          </w:p>
        </w:tc>
        <w:tc>
          <w:tcPr>
            <w:tcW w:w="560" w:type="pct"/>
            <w:tcBorders>
              <w:tl2br w:val="nil"/>
              <w:tr2bl w:val="nil"/>
            </w:tcBorders>
            <w:vAlign w:val="center"/>
          </w:tcPr>
          <w:p w14:paraId="65013B5F">
            <w:pPr>
              <w:adjustRightInd w:val="0"/>
              <w:snapToGrid w:val="0"/>
              <w:spacing w:beforeLines="0" w:afterLines="0" w:line="240" w:lineRule="auto"/>
              <w:ind w:firstLine="0" w:firstLineChars="0"/>
              <w:jc w:val="center"/>
              <w:rPr>
                <w:rFonts w:hint="eastAsia" w:ascii="仿宋" w:hAnsi="仿宋" w:eastAsia="仿宋" w:cs="仿宋"/>
                <w:color w:val="000000" w:themeColor="text1"/>
                <w:kern w:val="2"/>
                <w:sz w:val="24"/>
                <w:lang w:val="en-US" w:eastAsia="zh-CN" w:bidi="ar-SA"/>
                <w14:textFill>
                  <w14:solidFill>
                    <w14:schemeClr w14:val="tx1"/>
                  </w14:solidFill>
                </w14:textFill>
              </w:rPr>
            </w:pPr>
            <w:r>
              <w:rPr>
                <w:rFonts w:hint="eastAsia" w:ascii="仿宋" w:hAnsi="仿宋" w:eastAsia="仿宋" w:cs="仿宋"/>
                <w:lang w:val="en-US" w:eastAsia="zh-CN"/>
              </w:rPr>
              <w:t>软件要求</w:t>
            </w:r>
            <w:r>
              <w:rPr>
                <w:rFonts w:hint="eastAsia" w:ascii="仿宋" w:hAnsi="仿宋" w:eastAsia="仿宋" w:cs="仿宋"/>
                <w:lang w:val="en-US" w:eastAsia="zh-CN"/>
              </w:rPr>
              <w:br w:type="textWrapping"/>
            </w:r>
            <w:r>
              <w:rPr>
                <w:rFonts w:hint="eastAsia" w:ascii="仿宋" w:hAnsi="仿宋" w:eastAsia="仿宋" w:cs="仿宋"/>
                <w:lang w:val="en-US" w:eastAsia="zh-CN"/>
              </w:rPr>
              <w:t>（5分）</w:t>
            </w:r>
          </w:p>
        </w:tc>
        <w:tc>
          <w:tcPr>
            <w:tcW w:w="3151" w:type="pct"/>
            <w:tcBorders>
              <w:tl2br w:val="nil"/>
              <w:tr2bl w:val="nil"/>
            </w:tcBorders>
            <w:vAlign w:val="center"/>
          </w:tcPr>
          <w:p w14:paraId="6CB1A914">
            <w:pPr>
              <w:pStyle w:val="20"/>
              <w:adjustRightInd w:val="0"/>
              <w:snapToGrid w:val="0"/>
              <w:spacing w:before="0" w:beforeLines="0" w:after="0" w:afterLines="0" w:line="240" w:lineRule="auto"/>
              <w:ind w:firstLine="0" w:firstLineChars="0"/>
              <w:rPr>
                <w:rFonts w:hint="eastAsia" w:ascii="仿宋" w:hAnsi="仿宋" w:eastAsia="仿宋" w:cs="仿宋"/>
                <w:b w:val="0"/>
                <w:bCs w:val="0"/>
                <w:caps/>
                <w:kern w:val="2"/>
                <w:sz w:val="24"/>
                <w:szCs w:val="24"/>
                <w:lang w:val="en-US" w:eastAsia="zh-CN" w:bidi="ar-SA"/>
              </w:rPr>
            </w:pPr>
            <w:r>
              <w:rPr>
                <w:rFonts w:hint="eastAsia" w:ascii="仿宋" w:hAnsi="仿宋" w:eastAsia="仿宋" w:cs="仿宋"/>
                <w:b w:val="0"/>
                <w:bCs w:val="0"/>
                <w:caps/>
                <w:kern w:val="2"/>
                <w:sz w:val="24"/>
                <w:szCs w:val="24"/>
                <w:lang w:val="en-US" w:eastAsia="zh-CN" w:bidi="ar-SA"/>
              </w:rPr>
              <w:t>供应商拥有自主可控知识产权中间件平台，并能提供源码级开发支持的中间件产品的，得2分。</w:t>
            </w:r>
          </w:p>
          <w:p w14:paraId="51B41921">
            <w:pPr>
              <w:pStyle w:val="20"/>
              <w:adjustRightInd w:val="0"/>
              <w:snapToGrid w:val="0"/>
              <w:spacing w:before="0" w:beforeLines="0" w:after="0" w:afterLines="0" w:line="240" w:lineRule="auto"/>
              <w:ind w:firstLine="0" w:firstLineChars="0"/>
              <w:rPr>
                <w:rFonts w:hint="eastAsia" w:ascii="仿宋" w:hAnsi="仿宋" w:eastAsia="仿宋" w:cs="仿宋"/>
                <w:b/>
                <w:bCs/>
                <w:caps/>
                <w:kern w:val="2"/>
                <w:sz w:val="24"/>
                <w:szCs w:val="24"/>
                <w:lang w:val="en-US" w:eastAsia="zh-CN" w:bidi="ar-SA"/>
              </w:rPr>
            </w:pPr>
            <w:r>
              <w:rPr>
                <w:rFonts w:hint="eastAsia" w:ascii="仿宋" w:hAnsi="仿宋" w:eastAsia="仿宋" w:cs="仿宋"/>
                <w:b/>
                <w:bCs/>
                <w:caps/>
                <w:szCs w:val="24"/>
              </w:rPr>
              <w:t>评</w:t>
            </w:r>
            <w:r>
              <w:rPr>
                <w:rFonts w:hint="eastAsia" w:ascii="仿宋" w:hAnsi="仿宋" w:eastAsia="仿宋" w:cs="仿宋"/>
                <w:b/>
                <w:bCs/>
                <w:caps/>
                <w:kern w:val="2"/>
                <w:sz w:val="24"/>
                <w:szCs w:val="24"/>
                <w:lang w:val="en-US" w:eastAsia="zh-CN" w:bidi="ar-SA"/>
              </w:rPr>
              <w:t>审依据：响应文件中提供中间件平台计算机软件著作权登记证书的复印件加盖供应商公章或投标专用章，未提供或提供不符不得分。</w:t>
            </w:r>
          </w:p>
          <w:p w14:paraId="5747E1BD">
            <w:pPr>
              <w:pStyle w:val="20"/>
              <w:adjustRightInd w:val="0"/>
              <w:snapToGrid w:val="0"/>
              <w:spacing w:before="0" w:beforeLines="0" w:after="0" w:afterLines="0" w:line="240" w:lineRule="auto"/>
              <w:ind w:firstLine="0" w:firstLineChars="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投标人拥有自主可控的</w:t>
            </w:r>
            <w:r>
              <w:rPr>
                <w:rFonts w:hint="eastAsia" w:ascii="仿宋" w:hAnsi="仿宋" w:eastAsia="仿宋" w:cs="仿宋"/>
                <w:b w:val="0"/>
                <w:bCs w:val="0"/>
                <w:sz w:val="24"/>
                <w:szCs w:val="24"/>
              </w:rPr>
              <w:t>的中间件产品是否通过JAVA全球标准JCP组织认证，如有得</w:t>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分，否则得0分。</w:t>
            </w:r>
          </w:p>
          <w:p w14:paraId="717BDE4D">
            <w:pPr>
              <w:pStyle w:val="20"/>
              <w:adjustRightInd w:val="0"/>
              <w:snapToGrid w:val="0"/>
              <w:spacing w:before="0" w:beforeLines="0" w:after="0" w:afterLines="0" w:line="240" w:lineRule="auto"/>
              <w:ind w:firstLine="0" w:firstLineChars="0"/>
              <w:rPr>
                <w:rFonts w:hint="eastAsia"/>
                <w:lang w:val="en-US" w:eastAsia="zh-CN"/>
              </w:rPr>
            </w:pPr>
            <w:r>
              <w:rPr>
                <w:rFonts w:hint="eastAsia" w:ascii="仿宋" w:hAnsi="仿宋" w:eastAsia="仿宋" w:cs="仿宋"/>
                <w:szCs w:val="24"/>
              </w:rPr>
              <w:t>评审依据：通过Jakarta EE 国际标准认证的官网截图证明材料（体现完整网页链接），加盖投标人公章或投标专用章。</w:t>
            </w:r>
          </w:p>
        </w:tc>
        <w:tc>
          <w:tcPr>
            <w:tcW w:w="367" w:type="pct"/>
            <w:tcBorders>
              <w:tl2br w:val="nil"/>
              <w:tr2bl w:val="nil"/>
            </w:tcBorders>
            <w:vAlign w:val="center"/>
          </w:tcPr>
          <w:p w14:paraId="7B3C28ED">
            <w:pPr>
              <w:adjustRightInd w:val="0"/>
              <w:snapToGrid w:val="0"/>
              <w:spacing w:beforeLines="0" w:afterLines="0" w:line="240" w:lineRule="auto"/>
              <w:ind w:left="0" w:leftChars="0" w:firstLine="0" w:firstLineChars="0"/>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5分</w:t>
            </w:r>
          </w:p>
        </w:tc>
      </w:tr>
      <w:tr w14:paraId="436E9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362" w:type="pct"/>
            <w:vMerge w:val="restart"/>
            <w:tcBorders>
              <w:tl2br w:val="nil"/>
              <w:tr2bl w:val="nil"/>
            </w:tcBorders>
            <w:vAlign w:val="center"/>
          </w:tcPr>
          <w:p w14:paraId="5DDB7623">
            <w:pPr>
              <w:adjustRightInd w:val="0"/>
              <w:snapToGrid w:val="0"/>
              <w:spacing w:beforeLines="0" w:afterLines="0" w:line="240" w:lineRule="auto"/>
              <w:ind w:firstLine="0" w:firstLineChars="0"/>
              <w:jc w:val="center"/>
              <w:rPr>
                <w:rFonts w:hint="eastAsia" w:ascii="仿宋" w:hAnsi="仿宋" w:eastAsia="仿宋" w:cs="仿宋"/>
                <w:b/>
                <w:bCs/>
                <w:sz w:val="24"/>
                <w:szCs w:val="24"/>
                <w:lang w:val="en-US" w:eastAsia="zh-CN"/>
              </w:rPr>
            </w:pPr>
            <w:r>
              <w:rPr>
                <w:rFonts w:hint="eastAsia" w:ascii="仿宋" w:hAnsi="仿宋" w:eastAsia="仿宋" w:cs="仿宋"/>
              </w:rPr>
              <w:t>3</w:t>
            </w:r>
          </w:p>
        </w:tc>
        <w:tc>
          <w:tcPr>
            <w:tcW w:w="558" w:type="pct"/>
            <w:vMerge w:val="restart"/>
            <w:tcBorders>
              <w:tl2br w:val="nil"/>
              <w:tr2bl w:val="nil"/>
            </w:tcBorders>
            <w:vAlign w:val="center"/>
          </w:tcPr>
          <w:p w14:paraId="5AB2C07A">
            <w:pPr>
              <w:adjustRightInd w:val="0"/>
              <w:snapToGrid w:val="0"/>
              <w:spacing w:beforeLines="0" w:afterLines="0" w:line="240" w:lineRule="auto"/>
              <w:ind w:left="0" w:leftChars="0" w:firstLine="0" w:firstLineChars="0"/>
              <w:jc w:val="center"/>
              <w:rPr>
                <w:rFonts w:hint="eastAsia" w:ascii="仿宋" w:hAnsi="仿宋" w:eastAsia="仿宋" w:cs="仿宋"/>
                <w:lang w:val="en-US" w:eastAsia="zh-CN"/>
              </w:rPr>
            </w:pPr>
            <w:r>
              <w:rPr>
                <w:rFonts w:hint="eastAsia" w:ascii="仿宋" w:hAnsi="仿宋" w:eastAsia="仿宋" w:cs="仿宋"/>
                <w:lang w:val="en-US" w:eastAsia="zh-CN"/>
              </w:rPr>
              <w:t>商务部分</w:t>
            </w:r>
          </w:p>
          <w:p w14:paraId="78E20B96">
            <w:pPr>
              <w:adjustRightInd w:val="0"/>
              <w:snapToGrid w:val="0"/>
              <w:spacing w:beforeLines="0" w:afterLines="0" w:line="240" w:lineRule="auto"/>
              <w:ind w:left="0" w:leftChars="0" w:firstLine="0" w:firstLineChars="0"/>
              <w:jc w:val="center"/>
              <w:rPr>
                <w:rFonts w:hint="eastAsia" w:ascii="仿宋" w:hAnsi="仿宋" w:eastAsia="仿宋" w:cs="仿宋"/>
                <w:color w:val="000000" w:themeColor="text1"/>
                <w:kern w:val="2"/>
                <w:sz w:val="24"/>
                <w:lang w:val="en-US" w:eastAsia="zh-CN" w:bidi="ar-SA"/>
                <w14:textFill>
                  <w14:solidFill>
                    <w14:schemeClr w14:val="tx1"/>
                  </w14:solidFill>
                </w14:textFill>
              </w:rPr>
            </w:pPr>
            <w:r>
              <w:rPr>
                <w:rFonts w:hint="eastAsia" w:ascii="仿宋" w:hAnsi="仿宋" w:eastAsia="仿宋" w:cs="仿宋"/>
                <w:lang w:val="en-US" w:eastAsia="zh-CN"/>
              </w:rPr>
              <w:t>（30分）</w:t>
            </w:r>
          </w:p>
        </w:tc>
        <w:tc>
          <w:tcPr>
            <w:tcW w:w="560" w:type="pct"/>
            <w:tcBorders>
              <w:tl2br w:val="nil"/>
              <w:tr2bl w:val="nil"/>
            </w:tcBorders>
            <w:vAlign w:val="center"/>
          </w:tcPr>
          <w:p w14:paraId="30859080">
            <w:pPr>
              <w:adjustRightInd w:val="0"/>
              <w:snapToGrid w:val="0"/>
              <w:spacing w:beforeLines="0" w:afterLines="0" w:line="240" w:lineRule="auto"/>
              <w:ind w:left="0" w:leftChars="0" w:firstLine="0" w:firstLineChars="0"/>
              <w:jc w:val="center"/>
              <w:rPr>
                <w:rFonts w:hint="eastAsia" w:ascii="仿宋" w:hAnsi="仿宋" w:eastAsia="仿宋" w:cs="仿宋"/>
                <w:color w:val="000000" w:themeColor="text1"/>
                <w:kern w:val="2"/>
                <w:sz w:val="24"/>
                <w:lang w:val="en-US" w:eastAsia="zh-CN" w:bidi="ar-SA"/>
                <w14:textFill>
                  <w14:solidFill>
                    <w14:schemeClr w14:val="tx1"/>
                  </w14:solidFill>
                </w14:textFill>
              </w:rPr>
            </w:pPr>
            <w:r>
              <w:rPr>
                <w:rFonts w:hint="eastAsia" w:ascii="仿宋" w:hAnsi="仿宋" w:eastAsia="仿宋" w:cs="仿宋"/>
                <w:color w:val="000000" w:themeColor="text1"/>
                <w:kern w:val="2"/>
                <w:sz w:val="24"/>
                <w:lang w:val="en-US" w:eastAsia="zh-CN" w:bidi="ar-SA"/>
                <w14:textFill>
                  <w14:solidFill>
                    <w14:schemeClr w14:val="tx1"/>
                  </w14:solidFill>
                </w14:textFill>
              </w:rPr>
              <w:t>体系认证</w:t>
            </w:r>
          </w:p>
          <w:p w14:paraId="784180C8">
            <w:pPr>
              <w:adjustRightInd w:val="0"/>
              <w:snapToGrid w:val="0"/>
              <w:spacing w:beforeLines="0" w:afterLines="0" w:line="240" w:lineRule="auto"/>
              <w:ind w:left="0" w:leftChars="0" w:firstLine="0" w:firstLineChars="0"/>
              <w:jc w:val="center"/>
              <w:rPr>
                <w:rFonts w:hint="default" w:ascii="仿宋" w:hAnsi="仿宋" w:eastAsia="仿宋" w:cs="仿宋"/>
                <w:color w:val="000000" w:themeColor="text1"/>
                <w:kern w:val="2"/>
                <w:sz w:val="24"/>
                <w:lang w:val="en-US" w:eastAsia="zh-CN" w:bidi="ar-SA"/>
                <w14:textFill>
                  <w14:solidFill>
                    <w14:schemeClr w14:val="tx1"/>
                  </w14:solidFill>
                </w14:textFill>
              </w:rPr>
            </w:pPr>
            <w:r>
              <w:rPr>
                <w:rFonts w:hint="eastAsia" w:ascii="仿宋" w:hAnsi="仿宋" w:eastAsia="仿宋" w:cs="仿宋"/>
                <w:color w:val="000000" w:themeColor="text1"/>
                <w:kern w:val="2"/>
                <w:sz w:val="24"/>
                <w:lang w:val="en-US" w:eastAsia="zh-CN" w:bidi="ar-SA"/>
                <w14:textFill>
                  <w14:solidFill>
                    <w14:schemeClr w14:val="tx1"/>
                  </w14:solidFill>
                </w14:textFill>
              </w:rPr>
              <w:t>（3分）</w:t>
            </w:r>
          </w:p>
        </w:tc>
        <w:tc>
          <w:tcPr>
            <w:tcW w:w="3151" w:type="pct"/>
            <w:tcBorders>
              <w:tl2br w:val="nil"/>
              <w:tr2bl w:val="nil"/>
            </w:tcBorders>
            <w:vAlign w:val="center"/>
          </w:tcPr>
          <w:p w14:paraId="593BE1CC">
            <w:pPr>
              <w:adjustRightInd w:val="0"/>
              <w:snapToGrid w:val="0"/>
              <w:spacing w:beforeLines="0" w:afterLines="0" w:line="240" w:lineRule="auto"/>
              <w:ind w:firstLine="0" w:firstLineChars="0"/>
              <w:rPr>
                <w:rFonts w:hint="eastAsia" w:ascii="仿宋" w:hAnsi="仿宋" w:eastAsia="仿宋" w:cs="仿宋"/>
              </w:rPr>
            </w:pPr>
            <w:r>
              <w:rPr>
                <w:rFonts w:hint="eastAsia" w:ascii="仿宋" w:hAnsi="仿宋" w:eastAsia="仿宋" w:cs="仿宋"/>
                <w:b w:val="0"/>
                <w:bCs w:val="0"/>
                <w:caps/>
                <w:kern w:val="2"/>
                <w:sz w:val="24"/>
                <w:szCs w:val="24"/>
                <w:lang w:val="en-US" w:eastAsia="zh-CN" w:bidi="ar-SA"/>
              </w:rPr>
              <w:t>供应商</w:t>
            </w:r>
            <w:r>
              <w:rPr>
                <w:rFonts w:hint="eastAsia" w:ascii="仿宋" w:hAnsi="仿宋" w:eastAsia="仿宋" w:cs="仿宋"/>
                <w:lang w:val="en-US" w:eastAsia="zh-CN"/>
              </w:rPr>
              <w:t>通过ISO42001人工智能管理体系</w:t>
            </w:r>
            <w:r>
              <w:rPr>
                <w:rFonts w:hint="eastAsia" w:ascii="仿宋" w:hAnsi="仿宋" w:eastAsia="仿宋" w:cs="仿宋"/>
              </w:rPr>
              <w:t>认证</w:t>
            </w:r>
            <w:r>
              <w:rPr>
                <w:rFonts w:hint="eastAsia" w:ascii="仿宋" w:hAnsi="仿宋" w:eastAsia="仿宋" w:cs="仿宋"/>
                <w:lang w:val="en-US" w:eastAsia="zh-CN"/>
              </w:rPr>
              <w:t>的</w:t>
            </w:r>
            <w:r>
              <w:rPr>
                <w:rFonts w:hint="eastAsia" w:ascii="仿宋" w:hAnsi="仿宋" w:eastAsia="仿宋" w:cs="仿宋"/>
              </w:rPr>
              <w:t>，得</w:t>
            </w:r>
            <w:r>
              <w:rPr>
                <w:rFonts w:hint="eastAsia" w:ascii="仿宋" w:hAnsi="仿宋" w:eastAsia="仿宋" w:cs="仿宋"/>
                <w:lang w:val="en-US" w:eastAsia="zh-CN"/>
              </w:rPr>
              <w:t>3</w:t>
            </w:r>
            <w:r>
              <w:rPr>
                <w:rFonts w:hint="eastAsia" w:ascii="仿宋" w:hAnsi="仿宋" w:eastAsia="仿宋" w:cs="仿宋"/>
              </w:rPr>
              <w:t>分；</w:t>
            </w:r>
          </w:p>
          <w:p w14:paraId="06F72BE2">
            <w:pPr>
              <w:widowControl/>
              <w:adjustRightInd w:val="0"/>
              <w:snapToGrid w:val="0"/>
              <w:spacing w:beforeLines="0" w:afterLines="0" w:line="240" w:lineRule="auto"/>
              <w:ind w:firstLine="0" w:firstLineChars="0"/>
              <w:jc w:val="left"/>
              <w:rPr>
                <w:rFonts w:hint="eastAsia" w:ascii="仿宋" w:hAnsi="仿宋" w:eastAsia="仿宋" w:cs="仿宋"/>
                <w:b/>
                <w:bCs/>
                <w:i w:val="0"/>
                <w:iCs w:val="0"/>
                <w:color w:val="000000" w:themeColor="text1"/>
                <w:kern w:val="2"/>
                <w:sz w:val="24"/>
                <w:lang w:val="en-US" w:eastAsia="zh-CN" w:bidi="ar-SA"/>
                <w14:textFill>
                  <w14:solidFill>
                    <w14:schemeClr w14:val="tx1"/>
                  </w14:solidFill>
                </w14:textFill>
              </w:rPr>
            </w:pPr>
            <w:r>
              <w:rPr>
                <w:rFonts w:hint="eastAsia" w:ascii="仿宋" w:hAnsi="仿宋" w:eastAsia="仿宋" w:cs="仿宋"/>
                <w:b/>
                <w:bCs/>
              </w:rPr>
              <w:t>评审依据：</w:t>
            </w:r>
            <w:r>
              <w:rPr>
                <w:rFonts w:hint="eastAsia" w:ascii="仿宋" w:hAnsi="仿宋" w:eastAsia="仿宋" w:cs="仿宋"/>
                <w:b/>
                <w:bCs/>
                <w:lang w:val="en-US" w:eastAsia="zh-CN"/>
              </w:rPr>
              <w:t>响应文件中提供ISO42001人工智能管理体系</w:t>
            </w:r>
            <w:r>
              <w:rPr>
                <w:rFonts w:hint="eastAsia" w:ascii="仿宋" w:hAnsi="仿宋" w:eastAsia="仿宋" w:cs="仿宋"/>
                <w:b/>
                <w:bCs/>
              </w:rPr>
              <w:t>认证证书复印件加盖</w:t>
            </w:r>
            <w:r>
              <w:rPr>
                <w:rFonts w:hint="eastAsia" w:ascii="仿宋" w:hAnsi="仿宋" w:eastAsia="仿宋" w:cs="仿宋"/>
                <w:b/>
                <w:bCs/>
                <w:lang w:eastAsia="zh-CN"/>
              </w:rPr>
              <w:t>供应商</w:t>
            </w:r>
            <w:r>
              <w:rPr>
                <w:rFonts w:hint="eastAsia" w:ascii="仿宋" w:hAnsi="仿宋" w:eastAsia="仿宋" w:cs="仿宋"/>
                <w:b/>
                <w:bCs/>
              </w:rPr>
              <w:t>公章</w:t>
            </w:r>
            <w:r>
              <w:rPr>
                <w:rFonts w:hint="eastAsia" w:ascii="仿宋" w:hAnsi="仿宋" w:eastAsia="仿宋" w:cs="仿宋"/>
                <w:b/>
                <w:bCs/>
                <w:lang w:val="en-US" w:eastAsia="zh-CN"/>
              </w:rPr>
              <w:t>或投标专用章</w:t>
            </w:r>
            <w:r>
              <w:rPr>
                <w:rFonts w:hint="eastAsia" w:ascii="仿宋" w:hAnsi="仿宋" w:eastAsia="仿宋" w:cs="仿宋"/>
                <w:b/>
                <w:bCs/>
              </w:rPr>
              <w:t>。</w:t>
            </w:r>
          </w:p>
        </w:tc>
        <w:tc>
          <w:tcPr>
            <w:tcW w:w="367" w:type="pct"/>
            <w:tcBorders>
              <w:tl2br w:val="nil"/>
              <w:tr2bl w:val="nil"/>
            </w:tcBorders>
            <w:vAlign w:val="center"/>
          </w:tcPr>
          <w:p w14:paraId="7C6CBE65">
            <w:pPr>
              <w:adjustRightInd w:val="0"/>
              <w:snapToGrid w:val="0"/>
              <w:spacing w:beforeLines="0" w:afterLines="0" w:line="240" w:lineRule="auto"/>
              <w:ind w:left="0" w:leftChars="0" w:firstLine="0" w:firstLineChars="0"/>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3分</w:t>
            </w:r>
          </w:p>
        </w:tc>
      </w:tr>
      <w:tr w14:paraId="640A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362" w:type="pct"/>
            <w:vMerge w:val="continue"/>
            <w:tcBorders>
              <w:tl2br w:val="nil"/>
              <w:tr2bl w:val="nil"/>
            </w:tcBorders>
            <w:vAlign w:val="center"/>
          </w:tcPr>
          <w:p w14:paraId="34457C02">
            <w:pPr>
              <w:adjustRightInd w:val="0"/>
              <w:snapToGrid w:val="0"/>
              <w:spacing w:beforeLines="0" w:afterLines="0" w:line="240" w:lineRule="auto"/>
              <w:ind w:firstLine="0" w:firstLineChars="0"/>
              <w:jc w:val="center"/>
              <w:rPr>
                <w:rFonts w:hint="eastAsia" w:ascii="仿宋" w:hAnsi="仿宋" w:eastAsia="仿宋" w:cs="仿宋"/>
                <w:b/>
                <w:bCs/>
                <w:sz w:val="24"/>
                <w:szCs w:val="24"/>
                <w:lang w:val="en-US" w:eastAsia="zh-CN"/>
              </w:rPr>
            </w:pPr>
          </w:p>
        </w:tc>
        <w:tc>
          <w:tcPr>
            <w:tcW w:w="558" w:type="pct"/>
            <w:vMerge w:val="continue"/>
            <w:tcBorders>
              <w:tl2br w:val="nil"/>
              <w:tr2bl w:val="nil"/>
            </w:tcBorders>
            <w:vAlign w:val="center"/>
          </w:tcPr>
          <w:p w14:paraId="5BEE5D05">
            <w:pPr>
              <w:adjustRightInd w:val="0"/>
              <w:snapToGrid w:val="0"/>
              <w:spacing w:beforeLines="0" w:afterLines="0" w:line="240" w:lineRule="auto"/>
              <w:ind w:firstLine="0" w:firstLineChars="0"/>
              <w:jc w:val="center"/>
              <w:rPr>
                <w:rFonts w:hint="eastAsia" w:ascii="仿宋" w:hAnsi="仿宋" w:eastAsia="仿宋" w:cs="仿宋"/>
                <w:color w:val="000000" w:themeColor="text1"/>
                <w:kern w:val="2"/>
                <w:sz w:val="24"/>
                <w:lang w:val="en-US" w:eastAsia="zh-CN" w:bidi="ar-SA"/>
                <w14:textFill>
                  <w14:solidFill>
                    <w14:schemeClr w14:val="tx1"/>
                  </w14:solidFill>
                </w14:textFill>
              </w:rPr>
            </w:pPr>
          </w:p>
        </w:tc>
        <w:tc>
          <w:tcPr>
            <w:tcW w:w="560" w:type="pct"/>
            <w:tcBorders>
              <w:tl2br w:val="nil"/>
              <w:tr2bl w:val="nil"/>
            </w:tcBorders>
            <w:vAlign w:val="center"/>
          </w:tcPr>
          <w:p w14:paraId="4C43CF54">
            <w:pPr>
              <w:adjustRightInd w:val="0"/>
              <w:snapToGrid w:val="0"/>
              <w:spacing w:beforeLines="0" w:afterLines="0" w:line="240" w:lineRule="auto"/>
              <w:ind w:firstLine="0" w:firstLineChars="0"/>
              <w:jc w:val="center"/>
              <w:rPr>
                <w:rFonts w:hint="eastAsia" w:ascii="仿宋" w:hAnsi="仿宋" w:eastAsia="仿宋" w:cs="仿宋"/>
                <w:color w:val="000000" w:themeColor="text1"/>
                <w:kern w:val="2"/>
                <w:sz w:val="24"/>
                <w:lang w:val="en-US" w:eastAsia="zh-CN" w:bidi="ar-SA"/>
                <w14:textFill>
                  <w14:solidFill>
                    <w14:schemeClr w14:val="tx1"/>
                  </w14:solidFill>
                </w14:textFill>
              </w:rPr>
            </w:pPr>
            <w:r>
              <w:rPr>
                <w:rFonts w:hint="eastAsia" w:ascii="仿宋" w:hAnsi="仿宋" w:eastAsia="仿宋" w:cs="仿宋"/>
                <w:color w:val="000000" w:themeColor="text1"/>
                <w:kern w:val="2"/>
                <w:sz w:val="24"/>
                <w:lang w:val="en-US" w:eastAsia="zh-CN" w:bidi="ar-SA"/>
                <w14:textFill>
                  <w14:solidFill>
                    <w14:schemeClr w14:val="tx1"/>
                  </w14:solidFill>
                </w14:textFill>
              </w:rPr>
              <w:t>企业业绩</w:t>
            </w:r>
          </w:p>
          <w:p w14:paraId="1D5F99D5">
            <w:pPr>
              <w:adjustRightInd w:val="0"/>
              <w:snapToGrid w:val="0"/>
              <w:spacing w:beforeLines="0" w:afterLines="0" w:line="240" w:lineRule="auto"/>
              <w:ind w:firstLine="0" w:firstLineChars="0"/>
              <w:jc w:val="center"/>
              <w:rPr>
                <w:rFonts w:hint="default" w:ascii="仿宋" w:hAnsi="仿宋" w:eastAsia="仿宋" w:cs="仿宋"/>
                <w:color w:val="000000" w:themeColor="text1"/>
                <w:kern w:val="2"/>
                <w:sz w:val="24"/>
                <w:lang w:val="en-US" w:eastAsia="zh-CN" w:bidi="ar-SA"/>
                <w14:textFill>
                  <w14:solidFill>
                    <w14:schemeClr w14:val="tx1"/>
                  </w14:solidFill>
                </w14:textFill>
              </w:rPr>
            </w:pPr>
            <w:r>
              <w:rPr>
                <w:rFonts w:hint="eastAsia" w:ascii="仿宋" w:hAnsi="仿宋" w:eastAsia="仿宋" w:cs="仿宋"/>
                <w:color w:val="000000" w:themeColor="text1"/>
                <w:kern w:val="2"/>
                <w:sz w:val="24"/>
                <w:lang w:val="en-US" w:eastAsia="zh-CN" w:bidi="ar-SA"/>
                <w14:textFill>
                  <w14:solidFill>
                    <w14:schemeClr w14:val="tx1"/>
                  </w14:solidFill>
                </w14:textFill>
              </w:rPr>
              <w:t>（24分）</w:t>
            </w:r>
          </w:p>
        </w:tc>
        <w:tc>
          <w:tcPr>
            <w:tcW w:w="3151" w:type="pct"/>
            <w:tcBorders>
              <w:tl2br w:val="nil"/>
              <w:tr2bl w:val="nil"/>
            </w:tcBorders>
            <w:vAlign w:val="center"/>
          </w:tcPr>
          <w:p w14:paraId="24B0D972">
            <w:pPr>
              <w:adjustRightInd w:val="0"/>
              <w:snapToGrid w:val="0"/>
              <w:spacing w:beforeLines="0" w:afterLines="0" w:line="240" w:lineRule="auto"/>
              <w:ind w:firstLine="0" w:firstLineChars="0"/>
              <w:rPr>
                <w:rFonts w:hint="eastAsia" w:ascii="仿宋" w:hAnsi="仿宋" w:eastAsia="仿宋" w:cs="仿宋"/>
                <w:highlight w:val="none"/>
              </w:rPr>
            </w:pPr>
            <w:r>
              <w:rPr>
                <w:rFonts w:hint="eastAsia" w:ascii="仿宋" w:hAnsi="仿宋" w:eastAsia="仿宋" w:cs="仿宋"/>
                <w:lang w:eastAsia="zh-CN"/>
              </w:rPr>
              <w:t>供应商</w:t>
            </w:r>
            <w:r>
              <w:rPr>
                <w:rFonts w:hint="eastAsia" w:ascii="仿宋" w:hAnsi="仿宋" w:eastAsia="仿宋" w:cs="仿宋"/>
                <w:lang w:val="en-US" w:eastAsia="zh-CN"/>
              </w:rPr>
              <w:t>2021年1月1日至投标截止时间前</w:t>
            </w:r>
            <w:r>
              <w:rPr>
                <w:rFonts w:hint="eastAsia" w:ascii="仿宋" w:hAnsi="仿宋" w:eastAsia="仿宋" w:cs="仿宋"/>
                <w:highlight w:val="none"/>
              </w:rPr>
              <w:t>承揽过企业</w:t>
            </w:r>
            <w:r>
              <w:rPr>
                <w:rFonts w:hint="eastAsia" w:ascii="仿宋" w:hAnsi="仿宋" w:eastAsia="仿宋" w:cs="仿宋"/>
                <w:highlight w:val="none"/>
                <w:lang w:val="en-US" w:eastAsia="zh-CN"/>
              </w:rPr>
              <w:t>财务</w:t>
            </w:r>
            <w:r>
              <w:rPr>
                <w:rFonts w:hint="eastAsia" w:ascii="仿宋" w:hAnsi="仿宋" w:eastAsia="仿宋" w:cs="仿宋"/>
                <w:highlight w:val="none"/>
              </w:rPr>
              <w:t>信息化项目</w:t>
            </w:r>
            <w:r>
              <w:rPr>
                <w:rFonts w:hint="eastAsia" w:ascii="仿宋" w:hAnsi="仿宋" w:eastAsia="仿宋" w:cs="仿宋"/>
                <w:highlight w:val="none"/>
                <w:lang w:val="en-US" w:eastAsia="zh-CN"/>
              </w:rPr>
              <w:t>且合同金额不低于75万的</w:t>
            </w:r>
            <w:r>
              <w:rPr>
                <w:rFonts w:hint="eastAsia" w:ascii="仿宋" w:hAnsi="仿宋" w:eastAsia="仿宋" w:cs="仿宋"/>
                <w:highlight w:val="none"/>
              </w:rPr>
              <w:t>，提供</w:t>
            </w:r>
            <w:r>
              <w:rPr>
                <w:rFonts w:hint="eastAsia" w:ascii="仿宋" w:hAnsi="仿宋" w:eastAsia="仿宋" w:cs="仿宋"/>
                <w:highlight w:val="none"/>
                <w:lang w:val="en-US" w:eastAsia="zh-CN"/>
              </w:rPr>
              <w:t>1</w:t>
            </w:r>
            <w:r>
              <w:rPr>
                <w:rFonts w:hint="eastAsia" w:ascii="仿宋" w:hAnsi="仿宋" w:eastAsia="仿宋" w:cs="仿宋"/>
                <w:highlight w:val="none"/>
              </w:rPr>
              <w:t>家</w:t>
            </w:r>
            <w:r>
              <w:rPr>
                <w:rFonts w:hint="eastAsia" w:ascii="仿宋" w:hAnsi="仿宋" w:eastAsia="仿宋" w:cs="仿宋"/>
                <w:highlight w:val="none"/>
                <w:lang w:val="en-US" w:eastAsia="zh-CN"/>
              </w:rPr>
              <w:t>企业业绩的</w:t>
            </w:r>
            <w:r>
              <w:rPr>
                <w:rFonts w:hint="eastAsia" w:ascii="仿宋" w:hAnsi="仿宋" w:eastAsia="仿宋" w:cs="仿宋"/>
                <w:highlight w:val="none"/>
              </w:rPr>
              <w:t>得</w:t>
            </w:r>
            <w:r>
              <w:rPr>
                <w:rFonts w:hint="eastAsia" w:ascii="仿宋" w:hAnsi="仿宋" w:eastAsia="仿宋" w:cs="仿宋"/>
                <w:highlight w:val="none"/>
                <w:lang w:val="en-US" w:eastAsia="zh-CN"/>
              </w:rPr>
              <w:t>8</w:t>
            </w:r>
            <w:r>
              <w:rPr>
                <w:rFonts w:hint="eastAsia" w:ascii="仿宋" w:hAnsi="仿宋" w:eastAsia="仿宋" w:cs="仿宋"/>
                <w:highlight w:val="none"/>
              </w:rPr>
              <w:t>分，</w:t>
            </w:r>
            <w:r>
              <w:rPr>
                <w:rFonts w:hint="eastAsia" w:ascii="仿宋" w:hAnsi="仿宋" w:eastAsia="仿宋" w:cs="仿宋"/>
                <w:highlight w:val="none"/>
                <w:lang w:val="en-US" w:eastAsia="zh-CN"/>
              </w:rPr>
              <w:t>最高24分</w:t>
            </w:r>
            <w:r>
              <w:rPr>
                <w:rFonts w:hint="eastAsia" w:ascii="仿宋" w:hAnsi="仿宋" w:eastAsia="仿宋" w:cs="仿宋"/>
                <w:highlight w:val="none"/>
              </w:rPr>
              <w:t>。</w:t>
            </w:r>
          </w:p>
          <w:p w14:paraId="234B8C48">
            <w:pPr>
              <w:pStyle w:val="13"/>
              <w:adjustRightInd w:val="0"/>
              <w:snapToGrid w:val="0"/>
              <w:spacing w:beforeLines="0" w:after="0" w:line="240" w:lineRule="auto"/>
              <w:ind w:left="0" w:leftChars="0" w:firstLine="0" w:firstLineChars="0"/>
              <w:rPr>
                <w:rFonts w:hint="eastAsia" w:ascii="仿宋" w:hAnsi="仿宋" w:eastAsia="仿宋" w:cs="仿宋"/>
                <w:b/>
                <w:bCs/>
                <w:i w:val="0"/>
                <w:iCs w:val="0"/>
                <w:color w:val="000000" w:themeColor="text1"/>
                <w:kern w:val="2"/>
                <w:sz w:val="24"/>
                <w:lang w:val="en-US" w:eastAsia="zh-CN" w:bidi="ar-SA"/>
                <w14:textFill>
                  <w14:solidFill>
                    <w14:schemeClr w14:val="tx1"/>
                  </w14:solidFill>
                </w14:textFill>
              </w:rPr>
            </w:pPr>
            <w:r>
              <w:rPr>
                <w:rFonts w:hint="eastAsia" w:ascii="仿宋" w:hAnsi="仿宋" w:eastAsia="仿宋" w:cs="仿宋"/>
                <w:b/>
                <w:bCs/>
                <w:kern w:val="2"/>
                <w:sz w:val="24"/>
                <w:lang w:val="en-US" w:eastAsia="zh-CN" w:bidi="ar-SA"/>
              </w:rPr>
              <w:t>评审依据：</w:t>
            </w:r>
            <w:r>
              <w:rPr>
                <w:rFonts w:hint="eastAsia" w:ascii="仿宋" w:hAnsi="仿宋" w:eastAsia="仿宋" w:cs="仿宋"/>
                <w:b/>
                <w:bCs/>
                <w:lang w:val="en-US" w:eastAsia="zh-CN"/>
              </w:rPr>
              <w:t>响应文件中提供</w:t>
            </w:r>
            <w:r>
              <w:rPr>
                <w:rFonts w:hint="eastAsia" w:ascii="仿宋" w:hAnsi="仿宋" w:eastAsia="仿宋" w:cs="仿宋"/>
                <w:b/>
                <w:bCs/>
                <w:kern w:val="2"/>
                <w:sz w:val="24"/>
                <w:lang w:val="en-US" w:eastAsia="zh-CN" w:bidi="ar-SA"/>
              </w:rPr>
              <w:t>合同复印件加盖供应商公章或投标专用章。</w:t>
            </w:r>
          </w:p>
        </w:tc>
        <w:tc>
          <w:tcPr>
            <w:tcW w:w="367" w:type="pct"/>
            <w:tcBorders>
              <w:tl2br w:val="nil"/>
              <w:tr2bl w:val="nil"/>
            </w:tcBorders>
            <w:vAlign w:val="center"/>
          </w:tcPr>
          <w:p w14:paraId="7208184F">
            <w:pPr>
              <w:adjustRightInd w:val="0"/>
              <w:snapToGrid w:val="0"/>
              <w:spacing w:beforeLines="0" w:afterLines="0" w:line="240" w:lineRule="auto"/>
              <w:ind w:left="0" w:leftChars="0" w:firstLine="0" w:firstLineChars="0"/>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24分</w:t>
            </w:r>
          </w:p>
        </w:tc>
      </w:tr>
      <w:tr w14:paraId="6047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62" w:type="pct"/>
            <w:vMerge w:val="continue"/>
            <w:tcBorders>
              <w:tl2br w:val="nil"/>
              <w:tr2bl w:val="nil"/>
            </w:tcBorders>
            <w:vAlign w:val="center"/>
          </w:tcPr>
          <w:p w14:paraId="5A30DB39">
            <w:pPr>
              <w:adjustRightInd w:val="0"/>
              <w:snapToGrid w:val="0"/>
              <w:spacing w:beforeLines="0" w:afterLines="0" w:line="240" w:lineRule="auto"/>
              <w:ind w:firstLine="0" w:firstLineChars="0"/>
              <w:jc w:val="center"/>
              <w:rPr>
                <w:rFonts w:hint="eastAsia" w:ascii="仿宋" w:hAnsi="仿宋" w:eastAsia="仿宋" w:cs="仿宋"/>
                <w:b/>
                <w:bCs/>
                <w:sz w:val="24"/>
                <w:szCs w:val="24"/>
                <w:lang w:val="en-US" w:eastAsia="zh-CN"/>
              </w:rPr>
            </w:pPr>
          </w:p>
        </w:tc>
        <w:tc>
          <w:tcPr>
            <w:tcW w:w="558" w:type="pct"/>
            <w:vMerge w:val="continue"/>
            <w:tcBorders>
              <w:tl2br w:val="nil"/>
              <w:tr2bl w:val="nil"/>
            </w:tcBorders>
            <w:vAlign w:val="center"/>
          </w:tcPr>
          <w:p w14:paraId="53BAC984">
            <w:pPr>
              <w:adjustRightInd w:val="0"/>
              <w:snapToGrid w:val="0"/>
              <w:spacing w:beforeLines="0" w:afterLines="0" w:line="240" w:lineRule="auto"/>
              <w:ind w:firstLine="0" w:firstLineChars="0"/>
              <w:jc w:val="center"/>
              <w:rPr>
                <w:rFonts w:hint="eastAsia" w:ascii="仿宋" w:hAnsi="仿宋" w:eastAsia="仿宋" w:cs="仿宋"/>
                <w:color w:val="000000" w:themeColor="text1"/>
                <w:kern w:val="2"/>
                <w:sz w:val="24"/>
                <w:lang w:val="en-US" w:eastAsia="zh-CN" w:bidi="ar-SA"/>
                <w14:textFill>
                  <w14:solidFill>
                    <w14:schemeClr w14:val="tx1"/>
                  </w14:solidFill>
                </w14:textFill>
              </w:rPr>
            </w:pPr>
          </w:p>
        </w:tc>
        <w:tc>
          <w:tcPr>
            <w:tcW w:w="560" w:type="pct"/>
            <w:tcBorders>
              <w:tl2br w:val="nil"/>
              <w:tr2bl w:val="nil"/>
            </w:tcBorders>
            <w:vAlign w:val="center"/>
          </w:tcPr>
          <w:p w14:paraId="385D73A4">
            <w:pPr>
              <w:adjustRightInd w:val="0"/>
              <w:snapToGrid w:val="0"/>
              <w:spacing w:beforeLines="0" w:afterLines="0" w:line="240" w:lineRule="auto"/>
              <w:ind w:firstLine="0" w:firstLineChars="0"/>
              <w:jc w:val="center"/>
              <w:rPr>
                <w:rFonts w:hint="eastAsia" w:ascii="仿宋" w:hAnsi="仿宋" w:eastAsia="仿宋" w:cs="仿宋"/>
                <w:color w:val="000000" w:themeColor="text1"/>
                <w:kern w:val="2"/>
                <w:sz w:val="24"/>
                <w:lang w:val="en-US" w:eastAsia="zh-CN" w:bidi="ar-SA"/>
                <w14:textFill>
                  <w14:solidFill>
                    <w14:schemeClr w14:val="tx1"/>
                  </w14:solidFill>
                </w14:textFill>
              </w:rPr>
            </w:pPr>
            <w:r>
              <w:rPr>
                <w:rFonts w:hint="eastAsia" w:ascii="仿宋" w:hAnsi="仿宋" w:eastAsia="仿宋" w:cs="仿宋"/>
                <w:color w:val="000000" w:themeColor="text1"/>
                <w:kern w:val="2"/>
                <w:sz w:val="24"/>
                <w:lang w:val="en-US" w:eastAsia="zh-CN" w:bidi="ar-SA"/>
                <w14:textFill>
                  <w14:solidFill>
                    <w14:schemeClr w14:val="tx1"/>
                  </w14:solidFill>
                </w14:textFill>
              </w:rPr>
              <w:t>售后服务</w:t>
            </w:r>
          </w:p>
          <w:p w14:paraId="44F1F336">
            <w:pPr>
              <w:adjustRightInd w:val="0"/>
              <w:snapToGrid w:val="0"/>
              <w:spacing w:beforeLines="0" w:afterLines="0" w:line="240" w:lineRule="auto"/>
              <w:ind w:firstLine="0" w:firstLineChars="0"/>
              <w:jc w:val="center"/>
              <w:rPr>
                <w:rFonts w:hint="default" w:ascii="仿宋" w:hAnsi="仿宋" w:eastAsia="仿宋" w:cs="仿宋"/>
                <w:color w:val="000000" w:themeColor="text1"/>
                <w:kern w:val="2"/>
                <w:sz w:val="24"/>
                <w:lang w:val="en-US" w:eastAsia="zh-CN" w:bidi="ar-SA"/>
                <w14:textFill>
                  <w14:solidFill>
                    <w14:schemeClr w14:val="tx1"/>
                  </w14:solidFill>
                </w14:textFill>
              </w:rPr>
            </w:pPr>
            <w:r>
              <w:rPr>
                <w:rFonts w:hint="eastAsia" w:ascii="仿宋" w:hAnsi="仿宋" w:eastAsia="仿宋" w:cs="仿宋"/>
                <w:color w:val="000000" w:themeColor="text1"/>
                <w:kern w:val="2"/>
                <w:sz w:val="24"/>
                <w:lang w:val="en-US" w:eastAsia="zh-CN" w:bidi="ar-SA"/>
                <w14:textFill>
                  <w14:solidFill>
                    <w14:schemeClr w14:val="tx1"/>
                  </w14:solidFill>
                </w14:textFill>
              </w:rPr>
              <w:t>（3分）</w:t>
            </w:r>
          </w:p>
        </w:tc>
        <w:tc>
          <w:tcPr>
            <w:tcW w:w="3151" w:type="pct"/>
            <w:tcBorders>
              <w:tl2br w:val="nil"/>
              <w:tr2bl w:val="nil"/>
            </w:tcBorders>
            <w:vAlign w:val="center"/>
          </w:tcPr>
          <w:p w14:paraId="24E006D3">
            <w:pPr>
              <w:adjustRightInd w:val="0"/>
              <w:snapToGrid w:val="0"/>
              <w:spacing w:beforeLines="0" w:afterLines="0" w:line="240" w:lineRule="auto"/>
              <w:ind w:firstLine="0" w:firstLineChars="0"/>
              <w:rPr>
                <w:rFonts w:hint="eastAsia" w:ascii="仿宋" w:hAnsi="仿宋" w:eastAsia="仿宋" w:cs="仿宋"/>
              </w:rPr>
            </w:pPr>
            <w:r>
              <w:rPr>
                <w:rFonts w:hint="eastAsia" w:ascii="仿宋" w:hAnsi="仿宋" w:eastAsia="仿宋" w:cs="仿宋"/>
                <w:lang w:val="en-US" w:eastAsia="zh-CN"/>
              </w:rPr>
              <w:t>供应商承诺</w:t>
            </w:r>
            <w:r>
              <w:rPr>
                <w:rFonts w:hint="eastAsia" w:ascii="仿宋" w:hAnsi="仿宋" w:eastAsia="仿宋" w:cs="仿宋"/>
                <w:lang w:eastAsia="zh-CN"/>
              </w:rPr>
              <w:t>集团财务系统升级</w:t>
            </w:r>
            <w:r>
              <w:rPr>
                <w:rFonts w:hint="eastAsia" w:ascii="仿宋" w:hAnsi="仿宋" w:eastAsia="仿宋" w:cs="仿宋"/>
              </w:rPr>
              <w:t>出现问题或故障，能提供每天二十四（24）小时，每周七（7）天的7×24小时的连续响应现场服务，得</w:t>
            </w:r>
            <w:r>
              <w:rPr>
                <w:rFonts w:hint="eastAsia" w:ascii="仿宋" w:hAnsi="仿宋" w:eastAsia="仿宋" w:cs="仿宋"/>
                <w:lang w:val="en-US" w:eastAsia="zh-CN"/>
              </w:rPr>
              <w:t>3</w:t>
            </w:r>
            <w:r>
              <w:rPr>
                <w:rFonts w:hint="eastAsia" w:ascii="仿宋" w:hAnsi="仿宋" w:eastAsia="仿宋" w:cs="仿宋"/>
              </w:rPr>
              <w:t>分。</w:t>
            </w:r>
          </w:p>
          <w:p w14:paraId="5C6490DB">
            <w:pPr>
              <w:pStyle w:val="13"/>
              <w:adjustRightInd w:val="0"/>
              <w:snapToGrid w:val="0"/>
              <w:spacing w:beforeLines="0" w:after="0" w:line="240" w:lineRule="auto"/>
              <w:ind w:left="0" w:leftChars="0" w:firstLine="0" w:firstLineChars="0"/>
              <w:rPr>
                <w:rFonts w:hint="eastAsia" w:ascii="仿宋" w:hAnsi="仿宋" w:eastAsia="仿宋" w:cs="仿宋"/>
                <w:b/>
                <w:bCs/>
                <w:kern w:val="2"/>
                <w:sz w:val="24"/>
                <w:lang w:val="en-US" w:eastAsia="zh-CN" w:bidi="ar-SA"/>
              </w:rPr>
            </w:pPr>
            <w:r>
              <w:rPr>
                <w:rFonts w:hint="eastAsia" w:ascii="仿宋" w:hAnsi="仿宋" w:eastAsia="仿宋" w:cs="仿宋"/>
                <w:b/>
                <w:bCs/>
              </w:rPr>
              <w:t>评审依据：</w:t>
            </w:r>
            <w:r>
              <w:rPr>
                <w:rFonts w:hint="eastAsia" w:ascii="仿宋" w:hAnsi="仿宋" w:eastAsia="仿宋" w:cs="仿宋"/>
                <w:b/>
                <w:bCs/>
                <w:lang w:val="en-US" w:eastAsia="zh-CN"/>
              </w:rPr>
              <w:t>响应文件中</w:t>
            </w:r>
            <w:r>
              <w:rPr>
                <w:rFonts w:hint="eastAsia" w:ascii="仿宋" w:hAnsi="仿宋" w:eastAsia="仿宋" w:cs="仿宋"/>
                <w:b/>
                <w:bCs/>
              </w:rPr>
              <w:t>提供相关承诺函原件（格式自拟）</w:t>
            </w:r>
          </w:p>
        </w:tc>
        <w:tc>
          <w:tcPr>
            <w:tcW w:w="367" w:type="pct"/>
            <w:tcBorders>
              <w:tl2br w:val="nil"/>
              <w:tr2bl w:val="nil"/>
            </w:tcBorders>
            <w:vAlign w:val="center"/>
          </w:tcPr>
          <w:p w14:paraId="765ED5FB">
            <w:pPr>
              <w:adjustRightInd w:val="0"/>
              <w:snapToGrid w:val="0"/>
              <w:spacing w:beforeLines="0" w:afterLines="0" w:line="240" w:lineRule="auto"/>
              <w:ind w:left="0" w:leftChars="0" w:firstLine="0" w:firstLineChars="0"/>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3分</w:t>
            </w:r>
          </w:p>
        </w:tc>
      </w:tr>
    </w:tbl>
    <w:p w14:paraId="342EA530">
      <w:pPr>
        <w:rPr>
          <w:color w:val="auto"/>
          <w:highlight w:val="none"/>
        </w:rPr>
      </w:pPr>
    </w:p>
    <w:p w14:paraId="485FCB85">
      <w:pPr>
        <w:bidi w:val="0"/>
        <w:rPr>
          <w:rFonts w:hint="eastAsia"/>
          <w:color w:val="auto"/>
          <w:highlight w:val="none"/>
          <w:lang w:val="en-US" w:eastAsia="zh-CN"/>
        </w:rPr>
      </w:pPr>
      <w:r>
        <w:rPr>
          <w:rFonts w:hint="eastAsia"/>
          <w:color w:val="auto"/>
          <w:highlight w:val="none"/>
          <w:lang w:val="en-US" w:eastAsia="zh-CN"/>
        </w:rPr>
        <w:br w:type="page"/>
      </w:r>
    </w:p>
    <w:p w14:paraId="0D43B40B">
      <w:pPr>
        <w:pStyle w:val="2"/>
        <w:bidi w:val="0"/>
        <w:rPr>
          <w:rFonts w:hint="default"/>
          <w:color w:val="auto"/>
          <w:highlight w:val="none"/>
          <w:lang w:val="en-US" w:eastAsia="zh-CN"/>
        </w:rPr>
      </w:pPr>
      <w:bookmarkStart w:id="421" w:name="_Toc32526"/>
      <w:bookmarkStart w:id="422" w:name="_Toc29395"/>
      <w:bookmarkStart w:id="423" w:name="_Toc21887"/>
      <w:bookmarkStart w:id="424" w:name="_Toc15115"/>
      <w:bookmarkStart w:id="425" w:name="_Toc4880"/>
      <w:bookmarkStart w:id="426" w:name="_Toc8898"/>
      <w:bookmarkStart w:id="427" w:name="_Toc29267"/>
      <w:bookmarkStart w:id="428" w:name="_Toc12809"/>
      <w:r>
        <w:rPr>
          <w:rFonts w:hint="eastAsia"/>
          <w:color w:val="auto"/>
          <w:highlight w:val="none"/>
          <w:lang w:val="en-US" w:eastAsia="zh-CN"/>
        </w:rPr>
        <w:t>第六章 系统需求及参数要求</w:t>
      </w:r>
      <w:bookmarkEnd w:id="421"/>
      <w:bookmarkEnd w:id="422"/>
      <w:bookmarkEnd w:id="423"/>
      <w:bookmarkEnd w:id="424"/>
      <w:bookmarkEnd w:id="425"/>
      <w:bookmarkEnd w:id="426"/>
      <w:bookmarkEnd w:id="427"/>
      <w:bookmarkEnd w:id="428"/>
    </w:p>
    <w:p w14:paraId="7E860911">
      <w:pPr>
        <w:spacing w:line="360" w:lineRule="auto"/>
        <w:ind w:left="0" w:leftChars="0" w:firstLine="0" w:firstLineChars="0"/>
        <w:jc w:val="left"/>
        <w:rPr>
          <w:rFonts w:hint="eastAsia" w:ascii="宋体" w:hAnsi="宋体" w:cs="Times New Roman"/>
          <w:b/>
          <w:bCs w:val="0"/>
          <w:sz w:val="24"/>
          <w:szCs w:val="24"/>
          <w:highlight w:val="none"/>
          <w:lang w:val="en-US" w:eastAsia="zh-CN"/>
        </w:rPr>
      </w:pPr>
      <w:r>
        <w:rPr>
          <w:rFonts w:hint="eastAsia" w:ascii="宋体" w:hAnsi="宋体" w:cs="Times New Roman"/>
          <w:b/>
          <w:bCs w:val="0"/>
          <w:sz w:val="24"/>
          <w:szCs w:val="24"/>
          <w:highlight w:val="none"/>
          <w:lang w:val="en-US" w:eastAsia="zh-CN"/>
        </w:rPr>
        <w:t>一、非功能性需求</w:t>
      </w:r>
    </w:p>
    <w:p w14:paraId="7716CFE0">
      <w:bookmarkStart w:id="429" w:name="_Toc18624358"/>
      <w:bookmarkStart w:id="430" w:name="_Toc282856491"/>
      <w:bookmarkStart w:id="431" w:name="_Toc11702"/>
      <w:r>
        <w:rPr>
          <w:rFonts w:hint="eastAsia"/>
          <w:lang w:val="en-US" w:eastAsia="zh-CN"/>
        </w:rPr>
        <w:t>1.</w:t>
      </w:r>
      <w:r>
        <w:rPr>
          <w:rFonts w:hint="eastAsia"/>
        </w:rPr>
        <w:t>技术性要求</w:t>
      </w:r>
      <w:bookmarkEnd w:id="429"/>
      <w:bookmarkEnd w:id="430"/>
      <w:bookmarkEnd w:id="431"/>
    </w:p>
    <w:p w14:paraId="4131CA92">
      <w:pPr>
        <w:pStyle w:val="8"/>
        <w:numPr>
          <w:ilvl w:val="0"/>
          <w:numId w:val="0"/>
        </w:num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rPr>
        <w:t>系统应支持B/S和C/S架构，支持HTML5页面的访问，应用与数据库分机部署。同时CPU/内存/IO性能消耗较大的子系统应能独立部署在不同主机。</w:t>
      </w:r>
    </w:p>
    <w:p w14:paraId="2E35292B">
      <w:pPr>
        <w:pStyle w:val="8"/>
        <w:numPr>
          <w:ilvl w:val="0"/>
          <w:numId w:val="0"/>
        </w:num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系统支持64位操作系统，支持虚拟机或物理机部署安装。</w:t>
      </w:r>
    </w:p>
    <w:p w14:paraId="48792033">
      <w:pPr>
        <w:pStyle w:val="8"/>
        <w:numPr>
          <w:ilvl w:val="0"/>
          <w:numId w:val="0"/>
        </w:num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系统数据库可支持多种类型：SQL SERVER 、ORACLE。</w:t>
      </w:r>
    </w:p>
    <w:p w14:paraId="69D52C9A">
      <w:pPr>
        <w:pStyle w:val="8"/>
        <w:numPr>
          <w:ilvl w:val="0"/>
          <w:numId w:val="0"/>
        </w:num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(4)</w:t>
      </w:r>
      <w:r>
        <w:rPr>
          <w:rFonts w:hint="eastAsia" w:ascii="仿宋" w:hAnsi="仿宋" w:eastAsia="仿宋" w:cs="仿宋"/>
          <w:b w:val="0"/>
          <w:bCs/>
          <w:sz w:val="24"/>
          <w:szCs w:val="24"/>
          <w:highlight w:val="none"/>
        </w:rPr>
        <w:t>系统应具备良好扩展性，方便进行集群部署和分布式部署。</w:t>
      </w:r>
    </w:p>
    <w:p w14:paraId="321CF540">
      <w:pPr>
        <w:pStyle w:val="8"/>
        <w:numPr>
          <w:ilvl w:val="0"/>
          <w:numId w:val="0"/>
        </w:numPr>
        <w:spacing w:line="360" w:lineRule="auto"/>
        <w:ind w:firstLine="480" w:firstLineChars="200"/>
        <w:rPr>
          <w:rFonts w:hint="eastAsia" w:ascii="仿宋" w:hAnsi="仿宋" w:eastAsia="仿宋" w:cs="仿宋"/>
          <w:b w:val="0"/>
          <w:bCs/>
          <w:sz w:val="24"/>
          <w:szCs w:val="24"/>
          <w:highlight w:val="none"/>
        </w:rPr>
      </w:pPr>
      <w:bookmarkStart w:id="432" w:name="_Toc199738701"/>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rPr>
        <w:t>系统设计时应考虑各模块的标准接口性，能支持灵活新增或减少功能</w:t>
      </w:r>
      <w:bookmarkEnd w:id="432"/>
      <w:bookmarkStart w:id="433" w:name="_Toc199738705"/>
      <w:r>
        <w:rPr>
          <w:rFonts w:hint="eastAsia" w:ascii="仿宋" w:hAnsi="仿宋" w:eastAsia="仿宋" w:cs="仿宋"/>
          <w:b w:val="0"/>
          <w:bCs/>
          <w:sz w:val="24"/>
          <w:szCs w:val="24"/>
          <w:highlight w:val="none"/>
        </w:rPr>
        <w:t>模块。</w:t>
      </w:r>
    </w:p>
    <w:p w14:paraId="1BF961E8">
      <w:pPr>
        <w:pStyle w:val="8"/>
        <w:numPr>
          <w:ilvl w:val="0"/>
          <w:numId w:val="0"/>
        </w:num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(6)</w:t>
      </w:r>
      <w:r>
        <w:rPr>
          <w:rFonts w:hint="eastAsia" w:ascii="仿宋" w:hAnsi="仿宋" w:eastAsia="仿宋" w:cs="仿宋"/>
          <w:b w:val="0"/>
          <w:bCs/>
          <w:sz w:val="24"/>
          <w:szCs w:val="24"/>
          <w:highlight w:val="none"/>
        </w:rPr>
        <w:t>系统必须成熟稳定，且具有独立知识产权。</w:t>
      </w:r>
    </w:p>
    <w:p w14:paraId="492DC9F6">
      <w:pPr>
        <w:pStyle w:val="8"/>
        <w:numPr>
          <w:ilvl w:val="0"/>
          <w:numId w:val="0"/>
        </w:num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(7)</w:t>
      </w:r>
      <w:r>
        <w:rPr>
          <w:rFonts w:hint="eastAsia" w:ascii="仿宋" w:hAnsi="仿宋" w:eastAsia="仿宋" w:cs="仿宋"/>
          <w:b w:val="0"/>
          <w:bCs/>
          <w:sz w:val="24"/>
          <w:szCs w:val="24"/>
          <w:highlight w:val="none"/>
        </w:rPr>
        <w:t>本项目为集团自建服务器做本地私有部署。</w:t>
      </w:r>
    </w:p>
    <w:p w14:paraId="7CA9C38C">
      <w:pPr>
        <w:rPr>
          <w:rFonts w:hint="eastAsia"/>
        </w:rPr>
      </w:pPr>
      <w:bookmarkStart w:id="434" w:name="_Toc18624359"/>
      <w:bookmarkStart w:id="435" w:name="_Toc282856492"/>
      <w:bookmarkStart w:id="436" w:name="_Toc10275"/>
      <w:r>
        <w:rPr>
          <w:rFonts w:hint="eastAsia"/>
          <w:lang w:val="en-US" w:eastAsia="zh-CN"/>
        </w:rPr>
        <w:t>2.</w:t>
      </w:r>
      <w:r>
        <w:rPr>
          <w:rFonts w:hint="eastAsia"/>
        </w:rPr>
        <w:t>安全性要求</w:t>
      </w:r>
      <w:bookmarkEnd w:id="434"/>
      <w:bookmarkEnd w:id="435"/>
      <w:bookmarkEnd w:id="436"/>
    </w:p>
    <w:p w14:paraId="17BFC241">
      <w:pPr>
        <w:pStyle w:val="8"/>
        <w:numPr>
          <w:ilvl w:val="0"/>
          <w:numId w:val="0"/>
        </w:numPr>
        <w:spacing w:line="360" w:lineRule="auto"/>
        <w:ind w:left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系统安全、不存在OWASP TOP 10 中的安全漏洞。</w:t>
      </w:r>
    </w:p>
    <w:p w14:paraId="328BFCC6">
      <w:pPr>
        <w:pStyle w:val="8"/>
        <w:numPr>
          <w:ilvl w:val="0"/>
          <w:numId w:val="0"/>
        </w:numPr>
        <w:spacing w:line="360" w:lineRule="auto"/>
        <w:ind w:left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用户操作应有详细日志记录，可快速审计查阅。</w:t>
      </w:r>
    </w:p>
    <w:p w14:paraId="3F6D0482">
      <w:pPr>
        <w:pStyle w:val="8"/>
        <w:numPr>
          <w:ilvl w:val="0"/>
          <w:numId w:val="0"/>
        </w:numPr>
        <w:spacing w:line="360" w:lineRule="auto"/>
        <w:ind w:left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系统运行日志应详细，方便错误排查。</w:t>
      </w:r>
    </w:p>
    <w:p w14:paraId="5452BB21">
      <w:pPr>
        <w:pStyle w:val="8"/>
        <w:numPr>
          <w:ilvl w:val="0"/>
          <w:numId w:val="0"/>
        </w:num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(4)</w:t>
      </w:r>
      <w:r>
        <w:rPr>
          <w:rFonts w:hint="eastAsia" w:ascii="仿宋" w:hAnsi="仿宋" w:eastAsia="仿宋" w:cs="仿宋"/>
          <w:b w:val="0"/>
          <w:bCs/>
          <w:sz w:val="24"/>
          <w:szCs w:val="24"/>
          <w:highlight w:val="none"/>
        </w:rPr>
        <w:t>系统权限管理应灵活，支持分组织分级访问权限控制，支持字段级的权限控制，角色和用户权限的分配细化到各功能点,同时严格防止越权操作。</w:t>
      </w:r>
    </w:p>
    <w:p w14:paraId="04E1BAE8">
      <w:pPr>
        <w:pStyle w:val="8"/>
        <w:numPr>
          <w:ilvl w:val="0"/>
          <w:numId w:val="0"/>
        </w:num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rPr>
        <w:t>系统应可支持集成集团统一用户管理平台，支持通过 LDAP 协议同步指定的组织架构</w:t>
      </w:r>
      <w:bookmarkEnd w:id="433"/>
      <w:r>
        <w:rPr>
          <w:rFonts w:hint="eastAsia" w:ascii="仿宋" w:hAnsi="仿宋" w:eastAsia="仿宋" w:cs="仿宋"/>
          <w:b w:val="0"/>
          <w:bCs/>
          <w:sz w:val="24"/>
          <w:szCs w:val="24"/>
          <w:highlight w:val="none"/>
        </w:rPr>
        <w:t>及人员信息。</w:t>
      </w:r>
    </w:p>
    <w:p w14:paraId="62CC088E">
      <w:pPr>
        <w:pStyle w:val="8"/>
        <w:numPr>
          <w:ilvl w:val="0"/>
          <w:numId w:val="0"/>
        </w:num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(6)</w:t>
      </w:r>
      <w:r>
        <w:rPr>
          <w:rFonts w:hint="eastAsia" w:ascii="仿宋" w:hAnsi="仿宋" w:eastAsia="仿宋" w:cs="仿宋"/>
          <w:b w:val="0"/>
          <w:bCs/>
          <w:sz w:val="24"/>
          <w:szCs w:val="24"/>
          <w:highlight w:val="none"/>
        </w:rPr>
        <w:t>系统应可支持通过 LDAP 验证登录或通过集团统一用户登录平台进行单点登录。</w:t>
      </w:r>
    </w:p>
    <w:p w14:paraId="48712B38">
      <w:pPr>
        <w:pStyle w:val="8"/>
        <w:numPr>
          <w:ilvl w:val="0"/>
          <w:numId w:val="0"/>
        </w:numPr>
        <w:spacing w:line="360" w:lineRule="auto"/>
        <w:ind w:left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(7)</w:t>
      </w:r>
      <w:r>
        <w:rPr>
          <w:rFonts w:hint="eastAsia" w:ascii="仿宋" w:hAnsi="仿宋" w:eastAsia="仿宋" w:cs="仿宋"/>
          <w:b w:val="0"/>
          <w:bCs/>
          <w:sz w:val="24"/>
          <w:szCs w:val="24"/>
          <w:highlight w:val="none"/>
        </w:rPr>
        <w:t>系统支持 HTTPS 方式部署。</w:t>
      </w:r>
    </w:p>
    <w:p w14:paraId="3893D1F2">
      <w:pPr>
        <w:pStyle w:val="8"/>
        <w:numPr>
          <w:ilvl w:val="0"/>
          <w:numId w:val="0"/>
        </w:numPr>
        <w:spacing w:line="360" w:lineRule="auto"/>
        <w:ind w:left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(8)</w:t>
      </w:r>
      <w:r>
        <w:rPr>
          <w:rFonts w:hint="eastAsia" w:ascii="仿宋" w:hAnsi="仿宋" w:eastAsia="仿宋" w:cs="仿宋"/>
          <w:b w:val="0"/>
          <w:bCs/>
          <w:sz w:val="24"/>
          <w:szCs w:val="24"/>
          <w:highlight w:val="none"/>
        </w:rPr>
        <w:t>系统支持主流的硬件key和1024位及以上数字证书认证。</w:t>
      </w:r>
    </w:p>
    <w:p w14:paraId="19E9F926">
      <w:pPr>
        <w:rPr>
          <w:rFonts w:hint="eastAsia"/>
        </w:rPr>
      </w:pPr>
      <w:bookmarkStart w:id="437" w:name="_Toc18624360"/>
      <w:bookmarkStart w:id="438" w:name="_Toc23564"/>
      <w:bookmarkStart w:id="439" w:name="_Toc282856495"/>
      <w:r>
        <w:rPr>
          <w:rFonts w:hint="eastAsia"/>
          <w:lang w:val="en-US" w:eastAsia="zh-CN"/>
        </w:rPr>
        <w:t>3.</w:t>
      </w:r>
      <w:r>
        <w:rPr>
          <w:rFonts w:hint="eastAsia"/>
        </w:rPr>
        <w:t>开放性要求</w:t>
      </w:r>
      <w:bookmarkEnd w:id="437"/>
      <w:bookmarkEnd w:id="438"/>
      <w:bookmarkEnd w:id="439"/>
    </w:p>
    <w:p w14:paraId="4007DE2D">
      <w:pPr>
        <w:pStyle w:val="43"/>
        <w:numPr>
          <w:ilvl w:val="0"/>
          <w:numId w:val="0"/>
        </w:numPr>
        <w:spacing w:line="360" w:lineRule="auto"/>
        <w:ind w:firstLine="480" w:firstLineChars="200"/>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lang w:val="en-US" w:eastAsia="zh-CN"/>
        </w:rPr>
        <w:t>(1）</w:t>
      </w:r>
      <w:r>
        <w:rPr>
          <w:rFonts w:hint="eastAsia" w:ascii="仿宋" w:hAnsi="仿宋" w:eastAsia="仿宋" w:cs="仿宋"/>
          <w:b w:val="0"/>
          <w:bCs/>
          <w:kern w:val="0"/>
          <w:sz w:val="24"/>
          <w:highlight w:val="none"/>
        </w:rPr>
        <w:t>有跟第三方软件做集成的经验，系统应提供良好的API接口平台，可与集团其他业务系统集成。</w:t>
      </w:r>
    </w:p>
    <w:p w14:paraId="08E3471B">
      <w:pPr>
        <w:pStyle w:val="43"/>
        <w:numPr>
          <w:ilvl w:val="0"/>
          <w:numId w:val="0"/>
        </w:numPr>
        <w:spacing w:line="360" w:lineRule="auto"/>
        <w:ind w:left="420" w:leftChars="0"/>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lang w:val="en-US" w:eastAsia="zh-CN"/>
        </w:rPr>
        <w:t>(2)</w:t>
      </w:r>
      <w:r>
        <w:rPr>
          <w:rFonts w:hint="eastAsia" w:ascii="仿宋" w:hAnsi="仿宋" w:eastAsia="仿宋" w:cs="仿宋"/>
          <w:b w:val="0"/>
          <w:bCs/>
          <w:kern w:val="0"/>
          <w:sz w:val="24"/>
          <w:highlight w:val="none"/>
        </w:rPr>
        <w:t>应提供所有数据字典方便进行数据分析和报表设计。</w:t>
      </w:r>
    </w:p>
    <w:p w14:paraId="122B99B9">
      <w:pPr>
        <w:rPr>
          <w:rFonts w:hint="eastAsia"/>
        </w:rPr>
      </w:pPr>
      <w:bookmarkStart w:id="440" w:name="_Toc7156"/>
      <w:bookmarkStart w:id="441" w:name="_Toc18624361"/>
      <w:bookmarkStart w:id="442" w:name="_Toc282856496"/>
      <w:r>
        <w:rPr>
          <w:rFonts w:hint="eastAsia"/>
          <w:lang w:val="en-US" w:eastAsia="zh-CN"/>
        </w:rPr>
        <w:t>4.</w:t>
      </w:r>
      <w:r>
        <w:rPr>
          <w:rFonts w:hint="eastAsia"/>
        </w:rPr>
        <w:t>性能要求</w:t>
      </w:r>
      <w:bookmarkEnd w:id="440"/>
      <w:bookmarkEnd w:id="441"/>
      <w:bookmarkEnd w:id="442"/>
    </w:p>
    <w:p w14:paraId="2DB5098D">
      <w:pPr>
        <w:pStyle w:val="43"/>
        <w:numPr>
          <w:ilvl w:val="0"/>
          <w:numId w:val="0"/>
        </w:numPr>
        <w:spacing w:line="360" w:lineRule="auto"/>
        <w:ind w:left="420" w:leftChars="0"/>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lang w:val="en-US" w:eastAsia="zh-CN"/>
        </w:rPr>
        <w:t>(1)</w:t>
      </w:r>
      <w:r>
        <w:rPr>
          <w:rFonts w:hint="eastAsia" w:ascii="仿宋" w:hAnsi="仿宋" w:eastAsia="仿宋" w:cs="仿宋"/>
          <w:b w:val="0"/>
          <w:bCs/>
          <w:kern w:val="0"/>
          <w:sz w:val="24"/>
          <w:highlight w:val="none"/>
        </w:rPr>
        <w:t>未来稳定支持</w:t>
      </w:r>
      <w:r>
        <w:rPr>
          <w:rFonts w:hint="eastAsia" w:ascii="仿宋" w:hAnsi="仿宋" w:eastAsia="仿宋" w:cs="仿宋"/>
          <w:b w:val="0"/>
          <w:bCs/>
          <w:kern w:val="0"/>
          <w:sz w:val="24"/>
          <w:highlight w:val="none"/>
          <w:lang w:val="en-US" w:eastAsia="zh-CN"/>
        </w:rPr>
        <w:t>5</w:t>
      </w:r>
      <w:r>
        <w:rPr>
          <w:rFonts w:hint="eastAsia" w:ascii="仿宋" w:hAnsi="仿宋" w:eastAsia="仿宋" w:cs="仿宋"/>
          <w:b w:val="0"/>
          <w:bCs/>
          <w:kern w:val="0"/>
          <w:sz w:val="24"/>
          <w:highlight w:val="none"/>
        </w:rPr>
        <w:t>00个以上的用户。</w:t>
      </w:r>
    </w:p>
    <w:p w14:paraId="153C3AAB">
      <w:pPr>
        <w:pStyle w:val="43"/>
        <w:numPr>
          <w:ilvl w:val="0"/>
          <w:numId w:val="0"/>
        </w:numPr>
        <w:spacing w:line="360" w:lineRule="auto"/>
        <w:ind w:left="420" w:leftChars="0"/>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lang w:val="en-US" w:eastAsia="zh-CN"/>
        </w:rPr>
        <w:t>(2)</w:t>
      </w:r>
      <w:r>
        <w:rPr>
          <w:rFonts w:hint="eastAsia" w:ascii="仿宋" w:hAnsi="仿宋" w:eastAsia="仿宋" w:cs="仿宋"/>
          <w:b w:val="0"/>
          <w:bCs/>
          <w:kern w:val="0"/>
          <w:sz w:val="24"/>
          <w:highlight w:val="none"/>
        </w:rPr>
        <w:t>关键业务在500用户的应用快速响应，以标书上指定的注册数为基础，</w:t>
      </w:r>
      <w:r>
        <w:rPr>
          <w:rFonts w:hint="eastAsia" w:ascii="仿宋" w:hAnsi="仿宋" w:eastAsia="仿宋" w:cs="仿宋"/>
          <w:b w:val="0"/>
          <w:bCs/>
          <w:kern w:val="0"/>
          <w:sz w:val="24"/>
          <w:highlight w:val="none"/>
          <w:lang w:val="en-US" w:eastAsia="zh-CN"/>
        </w:rPr>
        <w:t>(3)</w:t>
      </w:r>
      <w:r>
        <w:rPr>
          <w:rFonts w:hint="eastAsia" w:ascii="仿宋" w:hAnsi="仿宋" w:eastAsia="仿宋" w:cs="仿宋"/>
          <w:b w:val="0"/>
          <w:bCs/>
          <w:kern w:val="0"/>
          <w:sz w:val="24"/>
          <w:highlight w:val="none"/>
        </w:rPr>
        <w:t>并留有足够的扩展空间。</w:t>
      </w:r>
    </w:p>
    <w:p w14:paraId="42A380CC">
      <w:pPr>
        <w:rPr>
          <w:rFonts w:hint="eastAsia"/>
        </w:rPr>
      </w:pPr>
      <w:bookmarkStart w:id="443" w:name="_Toc18624362"/>
      <w:bookmarkStart w:id="444" w:name="_Toc14791"/>
      <w:r>
        <w:rPr>
          <w:rFonts w:hint="eastAsia"/>
          <w:lang w:val="en-US" w:eastAsia="zh-CN"/>
        </w:rPr>
        <w:t>5.</w:t>
      </w:r>
      <w:r>
        <w:rPr>
          <w:rFonts w:hint="eastAsia"/>
        </w:rPr>
        <w:t>用户</w:t>
      </w:r>
      <w:bookmarkEnd w:id="443"/>
      <w:r>
        <w:rPr>
          <w:rFonts w:hint="eastAsia"/>
        </w:rPr>
        <w:t>数量要求</w:t>
      </w:r>
      <w:bookmarkEnd w:id="444"/>
    </w:p>
    <w:p w14:paraId="2EA06764">
      <w:pP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详见人资源管理系统需求清单</w:t>
      </w:r>
    </w:p>
    <w:p w14:paraId="2B55F07E">
      <w:pPr>
        <w:rPr>
          <w:rFonts w:hint="eastAsia"/>
        </w:rPr>
      </w:pPr>
      <w:bookmarkStart w:id="445" w:name="_Toc282856497"/>
      <w:bookmarkStart w:id="446" w:name="_Toc18624363"/>
      <w:bookmarkStart w:id="447" w:name="_Toc13914"/>
      <w:r>
        <w:rPr>
          <w:rFonts w:hint="eastAsia"/>
          <w:lang w:val="en-US" w:eastAsia="zh-CN"/>
        </w:rPr>
        <w:t>6.</w:t>
      </w:r>
      <w:r>
        <w:rPr>
          <w:rFonts w:hint="eastAsia"/>
        </w:rPr>
        <w:t>易用性要求</w:t>
      </w:r>
      <w:bookmarkEnd w:id="445"/>
      <w:bookmarkEnd w:id="446"/>
      <w:bookmarkEnd w:id="447"/>
    </w:p>
    <w:p w14:paraId="1AF7D1FD">
      <w:pPr>
        <w:pStyle w:val="8"/>
        <w:numPr>
          <w:ilvl w:val="0"/>
          <w:numId w:val="0"/>
        </w:numPr>
        <w:spacing w:line="360" w:lineRule="auto"/>
        <w:ind w:firstLine="480" w:firstLineChars="200"/>
        <w:rPr>
          <w:rFonts w:hint="eastAsia" w:ascii="仿宋" w:hAnsi="仿宋" w:eastAsia="仿宋" w:cs="仿宋"/>
          <w:b w:val="0"/>
          <w:bCs/>
          <w:sz w:val="24"/>
          <w:szCs w:val="24"/>
          <w:highlight w:val="none"/>
        </w:rPr>
      </w:pPr>
      <w:bookmarkStart w:id="448" w:name="_Toc199738725"/>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系统各功能主题明确，方便用户理解各功能操作，用户</w:t>
      </w:r>
      <w:bookmarkEnd w:id="448"/>
      <w:bookmarkStart w:id="449" w:name="_Toc199738726"/>
      <w:r>
        <w:rPr>
          <w:rFonts w:hint="eastAsia" w:ascii="仿宋" w:hAnsi="仿宋" w:eastAsia="仿宋" w:cs="仿宋"/>
          <w:b w:val="0"/>
          <w:bCs/>
          <w:sz w:val="24"/>
          <w:szCs w:val="24"/>
          <w:highlight w:val="none"/>
        </w:rPr>
        <w:t>操作界面、信息及操作提示友好。</w:t>
      </w:r>
    </w:p>
    <w:p w14:paraId="303FA3F0">
      <w:pPr>
        <w:pStyle w:val="8"/>
        <w:numPr>
          <w:ilvl w:val="0"/>
          <w:numId w:val="0"/>
        </w:num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系统</w:t>
      </w:r>
      <w:bookmarkEnd w:id="449"/>
      <w:r>
        <w:rPr>
          <w:rFonts w:hint="eastAsia" w:ascii="仿宋" w:hAnsi="仿宋" w:eastAsia="仿宋" w:cs="仿宋"/>
          <w:b w:val="0"/>
          <w:bCs/>
          <w:sz w:val="24"/>
          <w:szCs w:val="24"/>
          <w:highlight w:val="none"/>
        </w:rPr>
        <w:t>界面自适应分辨率，满足主流分辨率有理想效果前提下，其他分辨率下有较好的视觉效果。</w:t>
      </w:r>
    </w:p>
    <w:p w14:paraId="1480FD8A">
      <w:pPr>
        <w:pStyle w:val="8"/>
        <w:numPr>
          <w:ilvl w:val="0"/>
          <w:numId w:val="0"/>
        </w:numPr>
        <w:spacing w:line="360" w:lineRule="auto"/>
        <w:ind w:leftChars="200"/>
        <w:rPr>
          <w:rFonts w:hint="eastAsia" w:ascii="仿宋" w:hAnsi="仿宋" w:eastAsia="仿宋" w:cs="仿宋"/>
          <w:b w:val="0"/>
          <w:bCs/>
          <w:sz w:val="24"/>
          <w:szCs w:val="24"/>
          <w:highlight w:val="none"/>
        </w:rPr>
      </w:pPr>
      <w:bookmarkStart w:id="450" w:name="_Toc199738727"/>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系统</w:t>
      </w:r>
      <w:bookmarkEnd w:id="450"/>
      <w:r>
        <w:rPr>
          <w:rFonts w:hint="eastAsia" w:ascii="仿宋" w:hAnsi="仿宋" w:eastAsia="仿宋" w:cs="仿宋"/>
          <w:b w:val="0"/>
          <w:bCs/>
          <w:sz w:val="24"/>
          <w:szCs w:val="24"/>
          <w:highlight w:val="none"/>
        </w:rPr>
        <w:t>交互设计应充分考虑用户习惯及使用偏好，采用web2.0动态交互。</w:t>
      </w:r>
    </w:p>
    <w:p w14:paraId="338B5852">
      <w:pPr>
        <w:pStyle w:val="8"/>
        <w:numPr>
          <w:ilvl w:val="0"/>
          <w:numId w:val="0"/>
        </w:num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(4)</w:t>
      </w:r>
      <w:r>
        <w:rPr>
          <w:rFonts w:hint="eastAsia" w:ascii="仿宋" w:hAnsi="仿宋" w:eastAsia="仿宋" w:cs="仿宋"/>
          <w:b w:val="0"/>
          <w:bCs/>
          <w:sz w:val="24"/>
          <w:szCs w:val="24"/>
          <w:highlight w:val="none"/>
        </w:rPr>
        <w:t>系统应兼容IE版本（IE7及以上）浏览器及其他主流浏览器。客户端若需安装插件应简单稳定，无需繁琐配置。</w:t>
      </w:r>
    </w:p>
    <w:p w14:paraId="03C81CAE">
      <w:pPr>
        <w:rPr>
          <w:rFonts w:hint="eastAsia"/>
        </w:rPr>
      </w:pPr>
      <w:bookmarkStart w:id="451" w:name="_Toc18624364"/>
      <w:bookmarkStart w:id="452" w:name="_Toc12909"/>
      <w:r>
        <w:rPr>
          <w:rFonts w:hint="eastAsia"/>
          <w:lang w:val="en-US" w:eastAsia="zh-CN"/>
        </w:rPr>
        <w:t>7.</w:t>
      </w:r>
      <w:r>
        <w:rPr>
          <w:rFonts w:hint="eastAsia"/>
        </w:rPr>
        <w:t>项目管理</w:t>
      </w:r>
      <w:bookmarkEnd w:id="451"/>
      <w:bookmarkEnd w:id="452"/>
    </w:p>
    <w:p w14:paraId="2F00FF5A">
      <w:pPr>
        <w:pStyle w:val="8"/>
        <w:numPr>
          <w:ilvl w:val="0"/>
          <w:numId w:val="0"/>
        </w:numPr>
        <w:spacing w:line="360" w:lineRule="auto"/>
        <w:ind w:left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项目实施范围包括业主方及其下属企业，系统为全集团同时上线及验收。</w:t>
      </w:r>
    </w:p>
    <w:p w14:paraId="5450E5C1">
      <w:pPr>
        <w:pStyle w:val="8"/>
        <w:numPr>
          <w:ilvl w:val="0"/>
          <w:numId w:val="0"/>
        </w:num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中选方实施人员名单须与</w:t>
      </w:r>
      <w:r>
        <w:rPr>
          <w:rFonts w:hint="eastAsia" w:ascii="仿宋" w:hAnsi="仿宋" w:eastAsia="仿宋" w:cs="仿宋"/>
          <w:b w:val="0"/>
          <w:bCs/>
          <w:sz w:val="24"/>
          <w:szCs w:val="24"/>
          <w:highlight w:val="none"/>
          <w:lang w:eastAsia="zh-CN"/>
        </w:rPr>
        <w:t>响应文件</w:t>
      </w:r>
      <w:r>
        <w:rPr>
          <w:rFonts w:hint="eastAsia" w:ascii="仿宋" w:hAnsi="仿宋" w:eastAsia="仿宋" w:cs="仿宋"/>
          <w:b w:val="0"/>
          <w:bCs/>
          <w:sz w:val="24"/>
          <w:szCs w:val="24"/>
          <w:highlight w:val="none"/>
        </w:rPr>
        <w:t>一致，实施期间项目经理、实施顾问需要全程参与，开发人员与技术支持需配合项目进度提供支持。</w:t>
      </w:r>
    </w:p>
    <w:p w14:paraId="3E8AF095">
      <w:pPr>
        <w:pStyle w:val="8"/>
        <w:numPr>
          <w:ilvl w:val="0"/>
          <w:numId w:val="0"/>
        </w:num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提供详尽的项目实施时间表（以天为单位）和各阶段各方人员安排。</w:t>
      </w:r>
    </w:p>
    <w:p w14:paraId="733C6B4D">
      <w:pPr>
        <w:pStyle w:val="8"/>
        <w:numPr>
          <w:ilvl w:val="0"/>
          <w:numId w:val="0"/>
        </w:num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(4)</w:t>
      </w:r>
      <w:r>
        <w:rPr>
          <w:rFonts w:hint="eastAsia" w:ascii="仿宋" w:hAnsi="仿宋" w:eastAsia="仿宋" w:cs="仿宋"/>
          <w:b w:val="0"/>
          <w:bCs/>
          <w:sz w:val="24"/>
          <w:szCs w:val="24"/>
          <w:highlight w:val="none"/>
        </w:rPr>
        <w:t>按照项目实施规范进行项目的实施，在各阶段均需提供相应交付物，邀请方可对交付物进行审核，对其中不符合规范的，有权要求重新修订或调整。</w:t>
      </w:r>
    </w:p>
    <w:p w14:paraId="6FED6DBE">
      <w:pPr>
        <w:pStyle w:val="8"/>
        <w:numPr>
          <w:ilvl w:val="0"/>
          <w:numId w:val="0"/>
        </w:num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rPr>
        <w:t>中选方项目人员需根据业主方要求定时安排项目沟通会议，且不能缺席。</w:t>
      </w:r>
    </w:p>
    <w:p w14:paraId="02980D22">
      <w:pPr>
        <w:pStyle w:val="8"/>
        <w:numPr>
          <w:ilvl w:val="0"/>
          <w:numId w:val="0"/>
        </w:num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(6)</w:t>
      </w:r>
      <w:r>
        <w:rPr>
          <w:rFonts w:hint="eastAsia" w:ascii="仿宋" w:hAnsi="仿宋" w:eastAsia="仿宋" w:cs="仿宋"/>
          <w:b w:val="0"/>
          <w:bCs/>
          <w:sz w:val="24"/>
          <w:szCs w:val="24"/>
          <w:highlight w:val="none"/>
        </w:rPr>
        <w:t>中选方应详细调研业主方总体需求，形成项目需求报告书和实施蓝图。</w:t>
      </w:r>
    </w:p>
    <w:p w14:paraId="1E3C959D">
      <w:pPr>
        <w:pStyle w:val="8"/>
        <w:numPr>
          <w:ilvl w:val="0"/>
          <w:numId w:val="0"/>
        </w:num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(7)</w:t>
      </w:r>
      <w:r>
        <w:rPr>
          <w:rFonts w:hint="eastAsia" w:ascii="仿宋" w:hAnsi="仿宋" w:eastAsia="仿宋" w:cs="仿宋"/>
          <w:b w:val="0"/>
          <w:bCs/>
          <w:sz w:val="24"/>
          <w:szCs w:val="24"/>
          <w:highlight w:val="none"/>
        </w:rPr>
        <w:t>划定标准功能需求和二次开发需求，严格定义二次开发工作量和工作计划。</w:t>
      </w:r>
    </w:p>
    <w:p w14:paraId="15446DB9">
      <w:pPr>
        <w:pStyle w:val="8"/>
        <w:numPr>
          <w:ilvl w:val="0"/>
          <w:numId w:val="0"/>
        </w:num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(8)</w:t>
      </w:r>
      <w:r>
        <w:rPr>
          <w:rFonts w:hint="eastAsia" w:ascii="仿宋" w:hAnsi="仿宋" w:eastAsia="仿宋" w:cs="仿宋"/>
          <w:b w:val="0"/>
          <w:bCs/>
          <w:sz w:val="24"/>
          <w:szCs w:val="24"/>
          <w:highlight w:val="none"/>
        </w:rPr>
        <w:t>实施过程中由中选方负责根据集团各分、子公司需求完成科目设计、期初数据导入以及管理报表模板设计。</w:t>
      </w:r>
    </w:p>
    <w:p w14:paraId="7D3219D6">
      <w:pPr>
        <w:pStyle w:val="8"/>
        <w:numPr>
          <w:ilvl w:val="0"/>
          <w:numId w:val="0"/>
        </w:num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(9)</w:t>
      </w:r>
      <w:r>
        <w:rPr>
          <w:rFonts w:hint="eastAsia" w:ascii="仿宋" w:hAnsi="仿宋" w:eastAsia="仿宋" w:cs="仿宋"/>
          <w:b w:val="0"/>
          <w:bCs/>
          <w:sz w:val="24"/>
          <w:szCs w:val="24"/>
          <w:highlight w:val="none"/>
        </w:rPr>
        <w:t>中选方进行需求调研的时候，应该考虑旧系统的数据情况，设计完善的系统切换方案并实施。</w:t>
      </w:r>
    </w:p>
    <w:p w14:paraId="06161976">
      <w:pPr>
        <w:rPr>
          <w:rFonts w:hint="eastAsia"/>
        </w:rPr>
      </w:pPr>
      <w:bookmarkStart w:id="453" w:name="_Toc19712"/>
      <w:r>
        <w:rPr>
          <w:rFonts w:hint="eastAsia"/>
          <w:lang w:val="en-US" w:eastAsia="zh-CN"/>
        </w:rPr>
        <w:t>8.</w:t>
      </w:r>
      <w:r>
        <w:rPr>
          <w:rFonts w:hint="eastAsia"/>
        </w:rPr>
        <w:t>培训及维护要求</w:t>
      </w:r>
      <w:bookmarkEnd w:id="453"/>
    </w:p>
    <w:p w14:paraId="18DB7AF1">
      <w:pPr>
        <w:pStyle w:val="8"/>
        <w:numPr>
          <w:ilvl w:val="0"/>
          <w:numId w:val="0"/>
        </w:num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中选方负责提供全集团各分、子公司系统使用操作培训，并提交管理员使用手册、用户使用手册，该指导手册须容易培训上手。</w:t>
      </w:r>
    </w:p>
    <w:p w14:paraId="3708366F">
      <w:pPr>
        <w:pStyle w:val="8"/>
        <w:numPr>
          <w:ilvl w:val="0"/>
          <w:numId w:val="0"/>
        </w:num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提供系统维护方案，及系统日常监控指标。</w:t>
      </w:r>
    </w:p>
    <w:p w14:paraId="511D13B8">
      <w:pPr>
        <w:pStyle w:val="8"/>
        <w:numPr>
          <w:ilvl w:val="0"/>
          <w:numId w:val="0"/>
        </w:num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提供系统开发培训，并提交开发使用手册。</w:t>
      </w:r>
    </w:p>
    <w:p w14:paraId="638A5A0D">
      <w:pPr>
        <w:rPr>
          <w:rFonts w:hint="eastAsia"/>
        </w:rPr>
      </w:pPr>
      <w:bookmarkStart w:id="454" w:name="_Toc18624366"/>
      <w:bookmarkStart w:id="455" w:name="_Toc25677"/>
      <w:r>
        <w:rPr>
          <w:rFonts w:hint="eastAsia"/>
          <w:lang w:val="en-US" w:eastAsia="zh-CN"/>
        </w:rPr>
        <w:t>9.</w:t>
      </w:r>
      <w:r>
        <w:rPr>
          <w:rFonts w:hint="eastAsia"/>
        </w:rPr>
        <w:t>售后服务要求</w:t>
      </w:r>
      <w:bookmarkEnd w:id="454"/>
      <w:bookmarkEnd w:id="455"/>
    </w:p>
    <w:p w14:paraId="4DAD8741">
      <w:pPr>
        <w:pStyle w:val="8"/>
        <w:numPr>
          <w:ilvl w:val="0"/>
          <w:numId w:val="0"/>
        </w:num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需提供合同生效后一年的免费售后服务；</w:t>
      </w:r>
    </w:p>
    <w:p w14:paraId="105F0AA4">
      <w:pPr>
        <w:pStyle w:val="8"/>
        <w:numPr>
          <w:ilvl w:val="0"/>
          <w:numId w:val="0"/>
        </w:num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 xml:space="preserve">系统上线后中标人须配置专门人员驻场3个月，负责现场解决系统异常； </w:t>
      </w:r>
    </w:p>
    <w:p w14:paraId="53C54B26">
      <w:pPr>
        <w:adjustRightInd w:val="0"/>
        <w:snapToGrid w:val="0"/>
        <w:spacing w:before="156" w:beforeLines="50" w:line="360" w:lineRule="auto"/>
        <w:ind w:firstLineChars="0"/>
        <w:jc w:val="center"/>
        <w:rPr>
          <w:rFonts w:hint="eastAsia" w:ascii="仿宋" w:hAnsi="仿宋" w:eastAsia="仿宋" w:cs="仿宋"/>
          <w:b/>
          <w:bCs w:val="0"/>
          <w:kern w:val="0"/>
          <w:sz w:val="24"/>
          <w:highlight w:val="none"/>
        </w:rPr>
      </w:pPr>
      <w:r>
        <w:rPr>
          <w:rFonts w:hint="eastAsia" w:ascii="仿宋" w:hAnsi="仿宋" w:eastAsia="仿宋" w:cs="仿宋"/>
          <w:b/>
          <w:bCs w:val="0"/>
          <w:kern w:val="0"/>
          <w:sz w:val="24"/>
          <w:highlight w:val="none"/>
        </w:rPr>
        <w:br w:type="page"/>
      </w:r>
    </w:p>
    <w:p w14:paraId="1ED53741">
      <w:pPr>
        <w:pStyle w:val="43"/>
        <w:adjustRightInd w:val="0"/>
        <w:snapToGrid w:val="0"/>
        <w:spacing w:before="156" w:beforeLines="50" w:line="360" w:lineRule="auto"/>
        <w:ind w:firstLineChars="0"/>
        <w:jc w:val="center"/>
        <w:rPr>
          <w:rFonts w:hint="eastAsia" w:ascii="仿宋" w:hAnsi="仿宋" w:eastAsia="仿宋" w:cs="仿宋"/>
          <w:b/>
          <w:bCs w:val="0"/>
          <w:kern w:val="0"/>
          <w:sz w:val="24"/>
          <w:highlight w:val="none"/>
        </w:rPr>
      </w:pPr>
      <w:r>
        <w:rPr>
          <w:rFonts w:hint="eastAsia" w:ascii="仿宋" w:hAnsi="仿宋" w:eastAsia="仿宋" w:cs="仿宋"/>
          <w:b/>
          <w:bCs w:val="0"/>
          <w:kern w:val="0"/>
          <w:sz w:val="24"/>
          <w:highlight w:val="none"/>
        </w:rPr>
        <w:t>基础信息管理要求</w:t>
      </w:r>
    </w:p>
    <w:tbl>
      <w:tblPr>
        <w:tblStyle w:val="25"/>
        <w:tblW w:w="96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32"/>
        <w:gridCol w:w="8353"/>
      </w:tblGrid>
      <w:tr w14:paraId="14223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332" w:type="dxa"/>
            <w:tcBorders>
              <w:top w:val="single" w:color="auto" w:sz="12" w:space="0"/>
              <w:left w:val="single" w:color="auto" w:sz="12" w:space="0"/>
              <w:bottom w:val="single" w:color="auto" w:sz="4" w:space="0"/>
              <w:right w:val="single" w:color="auto" w:sz="4" w:space="0"/>
            </w:tcBorders>
            <w:shd w:val="clear" w:color="auto" w:fill="D9D9D9"/>
            <w:vAlign w:val="center"/>
          </w:tcPr>
          <w:p w14:paraId="74B58BEE">
            <w:pPr>
              <w:keepNext/>
              <w:adjustRightInd w:val="0"/>
              <w:snapToGrid w:val="0"/>
              <w:spacing w:before="156" w:beforeLines="50" w:line="360" w:lineRule="auto"/>
              <w:ind w:left="0" w:leftChars="0" w:firstLine="0" w:firstLineChars="0"/>
              <w:jc w:val="center"/>
              <w:rPr>
                <w:rFonts w:hint="eastAsia" w:ascii="仿宋" w:hAnsi="仿宋" w:eastAsia="仿宋" w:cs="仿宋"/>
                <w:b w:val="0"/>
                <w:bCs/>
                <w:color w:val="000000" w:themeColor="text1"/>
                <w:kern w:val="0"/>
                <w:sz w:val="21"/>
                <w:szCs w:val="21"/>
                <w:highlight w:val="none"/>
                <w14:textFill>
                  <w14:solidFill>
                    <w14:schemeClr w14:val="tx1"/>
                  </w14:solidFill>
                </w14:textFill>
              </w:rPr>
            </w:pPr>
            <w:r>
              <w:rPr>
                <w:rFonts w:hint="eastAsia" w:ascii="仿宋" w:hAnsi="仿宋" w:eastAsia="仿宋" w:cs="仿宋"/>
                <w:b w:val="0"/>
                <w:bCs/>
                <w:color w:val="000000" w:themeColor="text1"/>
                <w:kern w:val="0"/>
                <w:sz w:val="21"/>
                <w:szCs w:val="21"/>
                <w:highlight w:val="none"/>
                <w14:textFill>
                  <w14:solidFill>
                    <w14:schemeClr w14:val="tx1"/>
                  </w14:solidFill>
                </w14:textFill>
              </w:rPr>
              <w:t>功能模块</w:t>
            </w:r>
          </w:p>
        </w:tc>
        <w:tc>
          <w:tcPr>
            <w:tcW w:w="8353" w:type="dxa"/>
            <w:tcBorders>
              <w:top w:val="single" w:color="auto" w:sz="12" w:space="0"/>
              <w:left w:val="single" w:color="auto" w:sz="4" w:space="0"/>
              <w:bottom w:val="single" w:color="auto" w:sz="4" w:space="0"/>
              <w:right w:val="single" w:color="auto" w:sz="12" w:space="0"/>
            </w:tcBorders>
            <w:shd w:val="clear" w:color="auto" w:fill="D9D9D9"/>
            <w:vAlign w:val="center"/>
          </w:tcPr>
          <w:p w14:paraId="73C62910">
            <w:pPr>
              <w:keepNext/>
              <w:adjustRightInd w:val="0"/>
              <w:snapToGrid w:val="0"/>
              <w:spacing w:before="156" w:beforeLines="50" w:line="360" w:lineRule="auto"/>
              <w:jc w:val="center"/>
              <w:rPr>
                <w:rFonts w:hint="eastAsia" w:ascii="仿宋" w:hAnsi="仿宋" w:eastAsia="仿宋" w:cs="仿宋"/>
                <w:b w:val="0"/>
                <w:bCs/>
                <w:color w:val="000000" w:themeColor="text1"/>
                <w:kern w:val="0"/>
                <w:sz w:val="21"/>
                <w:szCs w:val="21"/>
                <w:highlight w:val="none"/>
                <w14:textFill>
                  <w14:solidFill>
                    <w14:schemeClr w14:val="tx1"/>
                  </w14:solidFill>
                </w14:textFill>
              </w:rPr>
            </w:pPr>
            <w:r>
              <w:rPr>
                <w:rFonts w:hint="eastAsia" w:ascii="仿宋" w:hAnsi="仿宋" w:eastAsia="仿宋" w:cs="仿宋"/>
                <w:b w:val="0"/>
                <w:bCs/>
                <w:color w:val="000000" w:themeColor="text1"/>
                <w:kern w:val="0"/>
                <w:sz w:val="21"/>
                <w:szCs w:val="21"/>
                <w:highlight w:val="none"/>
                <w14:textFill>
                  <w14:solidFill>
                    <w14:schemeClr w14:val="tx1"/>
                  </w14:solidFill>
                </w14:textFill>
              </w:rPr>
              <w:t>说明</w:t>
            </w:r>
          </w:p>
        </w:tc>
      </w:tr>
      <w:tr w14:paraId="16ABB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332" w:type="dxa"/>
            <w:tcBorders>
              <w:top w:val="single" w:color="auto" w:sz="4" w:space="0"/>
              <w:left w:val="single" w:color="auto" w:sz="12" w:space="0"/>
              <w:bottom w:val="single" w:color="auto" w:sz="4" w:space="0"/>
              <w:right w:val="single" w:color="auto" w:sz="4" w:space="0"/>
            </w:tcBorders>
            <w:vAlign w:val="center"/>
          </w:tcPr>
          <w:p w14:paraId="7ED3562B">
            <w:pPr>
              <w:keepNext/>
              <w:adjustRightInd w:val="0"/>
              <w:snapToGrid w:val="0"/>
              <w:spacing w:before="156" w:beforeLines="50" w:line="360" w:lineRule="auto"/>
              <w:ind w:left="0" w:leftChars="0" w:firstLine="0" w:firstLineChars="0"/>
              <w:jc w:val="center"/>
              <w:rPr>
                <w:rFonts w:hint="eastAsia" w:ascii="仿宋" w:hAnsi="仿宋" w:eastAsia="仿宋" w:cs="仿宋"/>
                <w:b w:val="0"/>
                <w:bCs/>
                <w:color w:val="000000" w:themeColor="text1"/>
                <w:kern w:val="0"/>
                <w:sz w:val="21"/>
                <w:szCs w:val="21"/>
                <w:highlight w:val="none"/>
                <w14:textFill>
                  <w14:solidFill>
                    <w14:schemeClr w14:val="tx1"/>
                  </w14:solidFill>
                </w14:textFill>
              </w:rPr>
            </w:pPr>
            <w:r>
              <w:rPr>
                <w:rFonts w:hint="eastAsia" w:ascii="仿宋" w:hAnsi="仿宋" w:eastAsia="仿宋" w:cs="仿宋"/>
                <w:b w:val="0"/>
                <w:bCs/>
                <w:color w:val="000000" w:themeColor="text1"/>
                <w:kern w:val="0"/>
                <w:sz w:val="21"/>
                <w:szCs w:val="21"/>
                <w:highlight w:val="none"/>
                <w14:textFill>
                  <w14:solidFill>
                    <w14:schemeClr w14:val="tx1"/>
                  </w14:solidFill>
                </w14:textFill>
              </w:rPr>
              <w:t>集团化管控</w:t>
            </w:r>
          </w:p>
        </w:tc>
        <w:tc>
          <w:tcPr>
            <w:tcW w:w="8353" w:type="dxa"/>
            <w:tcBorders>
              <w:top w:val="single" w:color="auto" w:sz="4" w:space="0"/>
              <w:left w:val="single" w:color="auto" w:sz="4" w:space="0"/>
              <w:bottom w:val="single" w:color="auto" w:sz="4" w:space="0"/>
              <w:right w:val="single" w:color="auto" w:sz="12" w:space="0"/>
            </w:tcBorders>
            <w:vAlign w:val="center"/>
          </w:tcPr>
          <w:p w14:paraId="0C9DA410">
            <w:pPr>
              <w:keepNext/>
              <w:adjustRightInd w:val="0"/>
              <w:snapToGrid w:val="0"/>
              <w:spacing w:before="156" w:beforeLines="50" w:line="360" w:lineRule="auto"/>
              <w:ind w:firstLine="0" w:firstLineChars="0"/>
              <w:rPr>
                <w:rFonts w:hint="eastAsia" w:ascii="仿宋" w:hAnsi="仿宋" w:eastAsia="仿宋" w:cs="仿宋"/>
                <w:b w:val="0"/>
                <w:bCs/>
                <w:color w:val="000000" w:themeColor="text1"/>
                <w:kern w:val="0"/>
                <w:sz w:val="21"/>
                <w:szCs w:val="21"/>
                <w:highlight w:val="none"/>
                <w14:textFill>
                  <w14:solidFill>
                    <w14:schemeClr w14:val="tx1"/>
                  </w14:solidFill>
                </w14:textFill>
              </w:rPr>
            </w:pPr>
            <w:r>
              <w:rPr>
                <w:rFonts w:hint="eastAsia" w:ascii="仿宋" w:hAnsi="仿宋" w:eastAsia="仿宋" w:cs="仿宋"/>
                <w:b w:val="0"/>
                <w:bCs/>
                <w:color w:val="000000" w:themeColor="text1"/>
                <w:kern w:val="0"/>
                <w:sz w:val="21"/>
                <w:szCs w:val="21"/>
                <w:highlight w:val="none"/>
                <w14:textFill>
                  <w14:solidFill>
                    <w14:schemeClr w14:val="tx1"/>
                  </w14:solidFill>
                </w14:textFill>
              </w:rPr>
              <w:t>实现多地、多分支机构（分公司、子公司、办事处等形式）的维护、监控、关联交易、独立核算、合并报表等管理需求。</w:t>
            </w:r>
          </w:p>
        </w:tc>
      </w:tr>
      <w:tr w14:paraId="00A34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332" w:type="dxa"/>
            <w:tcBorders>
              <w:top w:val="single" w:color="auto" w:sz="4" w:space="0"/>
              <w:left w:val="single" w:color="auto" w:sz="12" w:space="0"/>
              <w:bottom w:val="single" w:color="auto" w:sz="4" w:space="0"/>
              <w:right w:val="single" w:color="auto" w:sz="4" w:space="0"/>
            </w:tcBorders>
            <w:vAlign w:val="center"/>
          </w:tcPr>
          <w:p w14:paraId="54B62F73">
            <w:pPr>
              <w:keepNext/>
              <w:adjustRightInd w:val="0"/>
              <w:snapToGrid w:val="0"/>
              <w:spacing w:before="156" w:beforeLines="50" w:line="360" w:lineRule="auto"/>
              <w:ind w:left="0" w:leftChars="0" w:firstLine="0" w:firstLineChars="0"/>
              <w:jc w:val="center"/>
              <w:rPr>
                <w:rFonts w:hint="eastAsia" w:ascii="仿宋" w:hAnsi="仿宋" w:eastAsia="仿宋" w:cs="仿宋"/>
                <w:b w:val="0"/>
                <w:bCs/>
                <w:color w:val="000000" w:themeColor="text1"/>
                <w:kern w:val="0"/>
                <w:sz w:val="21"/>
                <w:szCs w:val="21"/>
                <w:highlight w:val="none"/>
                <w14:textFill>
                  <w14:solidFill>
                    <w14:schemeClr w14:val="tx1"/>
                  </w14:solidFill>
                </w14:textFill>
              </w:rPr>
            </w:pPr>
            <w:r>
              <w:rPr>
                <w:rFonts w:hint="eastAsia" w:ascii="仿宋" w:hAnsi="仿宋" w:eastAsia="仿宋" w:cs="仿宋"/>
                <w:b w:val="0"/>
                <w:bCs/>
                <w:color w:val="000000" w:themeColor="text1"/>
                <w:kern w:val="0"/>
                <w:sz w:val="21"/>
                <w:szCs w:val="21"/>
                <w:highlight w:val="none"/>
                <w14:textFill>
                  <w14:solidFill>
                    <w14:schemeClr w14:val="tx1"/>
                  </w14:solidFill>
                </w14:textFill>
              </w:rPr>
              <w:t>用户权限管理</w:t>
            </w:r>
          </w:p>
        </w:tc>
        <w:tc>
          <w:tcPr>
            <w:tcW w:w="8353" w:type="dxa"/>
            <w:tcBorders>
              <w:top w:val="single" w:color="auto" w:sz="4" w:space="0"/>
              <w:left w:val="single" w:color="auto" w:sz="4" w:space="0"/>
              <w:bottom w:val="single" w:color="auto" w:sz="4" w:space="0"/>
              <w:right w:val="single" w:color="auto" w:sz="12" w:space="0"/>
            </w:tcBorders>
            <w:vAlign w:val="center"/>
          </w:tcPr>
          <w:p w14:paraId="6C4726AA">
            <w:pPr>
              <w:keepNext/>
              <w:adjustRightInd w:val="0"/>
              <w:snapToGrid w:val="0"/>
              <w:spacing w:before="156" w:beforeLines="50" w:line="360" w:lineRule="auto"/>
              <w:ind w:firstLine="0" w:firstLineChars="0"/>
              <w:rPr>
                <w:rFonts w:hint="eastAsia" w:ascii="仿宋" w:hAnsi="仿宋" w:eastAsia="仿宋" w:cs="仿宋"/>
                <w:b w:val="0"/>
                <w:bCs/>
                <w:color w:val="000000" w:themeColor="text1"/>
                <w:kern w:val="0"/>
                <w:sz w:val="21"/>
                <w:szCs w:val="21"/>
                <w:highlight w:val="none"/>
                <w14:textFill>
                  <w14:solidFill>
                    <w14:schemeClr w14:val="tx1"/>
                  </w14:solidFill>
                </w14:textFill>
              </w:rPr>
            </w:pPr>
            <w:r>
              <w:rPr>
                <w:rFonts w:hint="eastAsia" w:ascii="仿宋" w:hAnsi="仿宋" w:eastAsia="仿宋" w:cs="仿宋"/>
                <w:b w:val="0"/>
                <w:bCs/>
                <w:color w:val="000000" w:themeColor="text1"/>
                <w:kern w:val="0"/>
                <w:sz w:val="21"/>
                <w:szCs w:val="21"/>
                <w:highlight w:val="none"/>
                <w14:textFill>
                  <w14:solidFill>
                    <w14:schemeClr w14:val="tx1"/>
                  </w14:solidFill>
                </w14:textFill>
              </w:rPr>
              <w:t>系统为每个角色指定不同的人员、岗位、事务关系和功能模块，通过角色的引入按需求定义人员与岗位的关系、岗位与事务的关系、事务与模块的关系和模块对数据操作权限，将人和业务有机的结合起来。改变不会影响其他几个部分，从而满足不同单位个性化管理的需要。</w:t>
            </w:r>
          </w:p>
        </w:tc>
      </w:tr>
      <w:tr w14:paraId="2E2E3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332" w:type="dxa"/>
            <w:tcBorders>
              <w:top w:val="single" w:color="auto" w:sz="4" w:space="0"/>
              <w:left w:val="single" w:color="auto" w:sz="12" w:space="0"/>
              <w:bottom w:val="single" w:color="auto" w:sz="4" w:space="0"/>
              <w:right w:val="single" w:color="auto" w:sz="4" w:space="0"/>
            </w:tcBorders>
            <w:vAlign w:val="center"/>
          </w:tcPr>
          <w:p w14:paraId="136B55C6">
            <w:pPr>
              <w:keepNext/>
              <w:adjustRightInd w:val="0"/>
              <w:snapToGrid w:val="0"/>
              <w:spacing w:before="156" w:beforeLines="50" w:line="360" w:lineRule="auto"/>
              <w:ind w:left="0" w:leftChars="0" w:firstLine="0" w:firstLineChars="0"/>
              <w:jc w:val="center"/>
              <w:rPr>
                <w:rFonts w:hint="eastAsia" w:ascii="仿宋" w:hAnsi="仿宋" w:eastAsia="仿宋" w:cs="仿宋"/>
                <w:b w:val="0"/>
                <w:bCs/>
                <w:color w:val="000000" w:themeColor="text1"/>
                <w:kern w:val="0"/>
                <w:sz w:val="21"/>
                <w:szCs w:val="21"/>
                <w:highlight w:val="none"/>
                <w14:textFill>
                  <w14:solidFill>
                    <w14:schemeClr w14:val="tx1"/>
                  </w14:solidFill>
                </w14:textFill>
              </w:rPr>
            </w:pPr>
            <w:r>
              <w:rPr>
                <w:rFonts w:hint="eastAsia" w:ascii="仿宋" w:hAnsi="仿宋" w:eastAsia="仿宋" w:cs="仿宋"/>
                <w:b w:val="0"/>
                <w:bCs/>
                <w:color w:val="000000" w:themeColor="text1"/>
                <w:kern w:val="0"/>
                <w:sz w:val="21"/>
                <w:szCs w:val="21"/>
                <w:highlight w:val="none"/>
                <w14:textFill>
                  <w14:solidFill>
                    <w14:schemeClr w14:val="tx1"/>
                  </w14:solidFill>
                </w14:textFill>
              </w:rPr>
              <w:t>主数据管理</w:t>
            </w:r>
          </w:p>
        </w:tc>
        <w:tc>
          <w:tcPr>
            <w:tcW w:w="8353" w:type="dxa"/>
            <w:tcBorders>
              <w:top w:val="single" w:color="auto" w:sz="4" w:space="0"/>
              <w:left w:val="single" w:color="auto" w:sz="4" w:space="0"/>
              <w:bottom w:val="single" w:color="auto" w:sz="4" w:space="0"/>
              <w:right w:val="single" w:color="auto" w:sz="12" w:space="0"/>
            </w:tcBorders>
            <w:vAlign w:val="center"/>
          </w:tcPr>
          <w:p w14:paraId="17C6516B">
            <w:pPr>
              <w:keepNext/>
              <w:widowControl/>
              <w:autoSpaceDE w:val="0"/>
              <w:autoSpaceDN w:val="0"/>
              <w:adjustRightInd w:val="0"/>
              <w:snapToGrid w:val="0"/>
              <w:spacing w:after="195" w:line="360" w:lineRule="auto"/>
              <w:ind w:firstLine="0" w:firstLineChars="0"/>
              <w:jc w:val="left"/>
              <w:rPr>
                <w:rFonts w:hint="eastAsia" w:ascii="仿宋" w:hAnsi="仿宋" w:eastAsia="仿宋" w:cs="仿宋"/>
                <w:b w:val="0"/>
                <w:bCs/>
                <w:color w:val="000000" w:themeColor="text1"/>
                <w:kern w:val="0"/>
                <w:sz w:val="21"/>
                <w:szCs w:val="21"/>
                <w:highlight w:val="none"/>
                <w14:textFill>
                  <w14:solidFill>
                    <w14:schemeClr w14:val="tx1"/>
                  </w14:solidFill>
                </w14:textFill>
              </w:rPr>
            </w:pPr>
            <w:r>
              <w:rPr>
                <w:rFonts w:hint="eastAsia" w:ascii="仿宋" w:hAnsi="仿宋" w:eastAsia="仿宋" w:cs="仿宋"/>
                <w:b w:val="0"/>
                <w:bCs/>
                <w:color w:val="000000" w:themeColor="text1"/>
                <w:kern w:val="0"/>
                <w:sz w:val="21"/>
                <w:szCs w:val="21"/>
                <w:highlight w:val="none"/>
                <w14:textFill>
                  <w14:solidFill>
                    <w14:schemeClr w14:val="tx1"/>
                  </w14:solidFill>
                </w14:textFill>
              </w:rPr>
              <w:t>主数据包括会计科目、银行账户信息、供应商主数据、客户主数据、组织架构、员工主数据等，下属单位能在统一的会计科目体系基础上，按照分级授权管理原则，根据实际经营情况、范围设置明细会计科目，系统对各核算单位、核算科目可按科目的属性设置对应的辅助核算，例如供应商、客户、部门、职员等，满足多种辅助核算的要求；</w:t>
            </w:r>
          </w:p>
        </w:tc>
      </w:tr>
      <w:tr w14:paraId="68F9C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332" w:type="dxa"/>
            <w:tcBorders>
              <w:top w:val="single" w:color="auto" w:sz="4" w:space="0"/>
              <w:left w:val="single" w:color="auto" w:sz="12" w:space="0"/>
              <w:bottom w:val="single" w:color="auto" w:sz="4" w:space="0"/>
              <w:right w:val="single" w:color="auto" w:sz="4" w:space="0"/>
            </w:tcBorders>
            <w:vAlign w:val="center"/>
          </w:tcPr>
          <w:p w14:paraId="3DCB07DC">
            <w:pPr>
              <w:keepNext/>
              <w:adjustRightInd w:val="0"/>
              <w:snapToGrid w:val="0"/>
              <w:spacing w:before="156" w:beforeLines="50" w:line="360" w:lineRule="auto"/>
              <w:ind w:left="0" w:leftChars="0" w:firstLine="0" w:firstLineChars="0"/>
              <w:jc w:val="center"/>
              <w:rPr>
                <w:rFonts w:hint="eastAsia" w:ascii="仿宋" w:hAnsi="仿宋" w:eastAsia="仿宋" w:cs="仿宋"/>
                <w:b w:val="0"/>
                <w:bCs/>
                <w:color w:val="000000" w:themeColor="text1"/>
                <w:kern w:val="0"/>
                <w:sz w:val="21"/>
                <w:szCs w:val="21"/>
                <w:highlight w:val="none"/>
                <w14:textFill>
                  <w14:solidFill>
                    <w14:schemeClr w14:val="tx1"/>
                  </w14:solidFill>
                </w14:textFill>
              </w:rPr>
            </w:pPr>
            <w:r>
              <w:rPr>
                <w:rFonts w:hint="eastAsia" w:ascii="仿宋" w:hAnsi="仿宋" w:eastAsia="仿宋" w:cs="仿宋"/>
                <w:b w:val="0"/>
                <w:bCs/>
                <w:color w:val="000000" w:themeColor="text1"/>
                <w:kern w:val="0"/>
                <w:sz w:val="21"/>
                <w:szCs w:val="21"/>
                <w:highlight w:val="none"/>
                <w14:textFill>
                  <w14:solidFill>
                    <w14:schemeClr w14:val="tx1"/>
                  </w14:solidFill>
                </w14:textFill>
              </w:rPr>
              <w:t>基础信息维护及系统设置</w:t>
            </w:r>
          </w:p>
        </w:tc>
        <w:tc>
          <w:tcPr>
            <w:tcW w:w="8353" w:type="dxa"/>
            <w:tcBorders>
              <w:top w:val="single" w:color="auto" w:sz="4" w:space="0"/>
              <w:left w:val="single" w:color="auto" w:sz="4" w:space="0"/>
              <w:bottom w:val="single" w:color="auto" w:sz="4" w:space="0"/>
              <w:right w:val="single" w:color="auto" w:sz="12" w:space="0"/>
            </w:tcBorders>
            <w:vAlign w:val="center"/>
          </w:tcPr>
          <w:p w14:paraId="30F959E1">
            <w:pPr>
              <w:keepNext/>
              <w:widowControl/>
              <w:autoSpaceDE w:val="0"/>
              <w:autoSpaceDN w:val="0"/>
              <w:adjustRightInd w:val="0"/>
              <w:snapToGrid w:val="0"/>
              <w:spacing w:after="195" w:line="360" w:lineRule="auto"/>
              <w:ind w:firstLine="0" w:firstLineChars="0"/>
              <w:jc w:val="left"/>
              <w:rPr>
                <w:rFonts w:hint="eastAsia" w:ascii="仿宋" w:hAnsi="仿宋" w:eastAsia="仿宋" w:cs="仿宋"/>
                <w:b w:val="0"/>
                <w:bCs/>
                <w:color w:val="000000" w:themeColor="text1"/>
                <w:kern w:val="0"/>
                <w:sz w:val="21"/>
                <w:szCs w:val="21"/>
                <w:highlight w:val="none"/>
                <w14:textFill>
                  <w14:solidFill>
                    <w14:schemeClr w14:val="tx1"/>
                  </w14:solidFill>
                </w14:textFill>
              </w:rPr>
            </w:pPr>
            <w:r>
              <w:rPr>
                <w:rFonts w:hint="eastAsia" w:ascii="仿宋" w:hAnsi="仿宋" w:eastAsia="仿宋" w:cs="仿宋"/>
                <w:b w:val="0"/>
                <w:bCs/>
                <w:color w:val="000000" w:themeColor="text1"/>
                <w:kern w:val="0"/>
                <w:sz w:val="21"/>
                <w:szCs w:val="21"/>
                <w:highlight w:val="none"/>
                <w14:textFill>
                  <w14:solidFill>
                    <w14:schemeClr w14:val="tx1"/>
                  </w14:solidFill>
                </w14:textFill>
              </w:rPr>
              <w:t>系统提供基础信息初始化，实现初始数据录入、期初时间设置、模板导入、结束初始化、反初始化等功能。配置系统参数设置，根据用户需求，可满足全局参数设置、子集团及业务单元参数设置的区分。</w:t>
            </w:r>
          </w:p>
        </w:tc>
      </w:tr>
      <w:tr w14:paraId="74914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332" w:type="dxa"/>
            <w:tcBorders>
              <w:top w:val="single" w:color="auto" w:sz="4" w:space="0"/>
              <w:left w:val="single" w:color="auto" w:sz="12" w:space="0"/>
              <w:bottom w:val="single" w:color="auto" w:sz="12" w:space="0"/>
              <w:right w:val="single" w:color="auto" w:sz="4" w:space="0"/>
            </w:tcBorders>
            <w:vAlign w:val="center"/>
          </w:tcPr>
          <w:p w14:paraId="5201DC20">
            <w:pPr>
              <w:keepNext/>
              <w:adjustRightInd w:val="0"/>
              <w:snapToGrid w:val="0"/>
              <w:spacing w:before="156" w:beforeLines="50" w:line="360" w:lineRule="auto"/>
              <w:ind w:left="0" w:leftChars="0" w:firstLine="0" w:firstLineChars="0"/>
              <w:jc w:val="center"/>
              <w:rPr>
                <w:rFonts w:hint="eastAsia" w:ascii="仿宋" w:hAnsi="仿宋" w:eastAsia="仿宋" w:cs="仿宋"/>
                <w:b w:val="0"/>
                <w:bCs/>
                <w:color w:val="000000" w:themeColor="text1"/>
                <w:kern w:val="0"/>
                <w:sz w:val="21"/>
                <w:szCs w:val="21"/>
                <w:highlight w:val="none"/>
                <w14:textFill>
                  <w14:solidFill>
                    <w14:schemeClr w14:val="tx1"/>
                  </w14:solidFill>
                </w14:textFill>
              </w:rPr>
            </w:pPr>
            <w:r>
              <w:rPr>
                <w:rFonts w:hint="eastAsia" w:ascii="仿宋" w:hAnsi="仿宋" w:eastAsia="仿宋" w:cs="仿宋"/>
                <w:b w:val="0"/>
                <w:bCs/>
                <w:color w:val="000000" w:themeColor="text1"/>
                <w:kern w:val="0"/>
                <w:sz w:val="21"/>
                <w:szCs w:val="21"/>
                <w:highlight w:val="none"/>
                <w14:textFill>
                  <w14:solidFill>
                    <w14:schemeClr w14:val="tx1"/>
                  </w14:solidFill>
                </w14:textFill>
              </w:rPr>
              <w:t>系统操作日志</w:t>
            </w:r>
          </w:p>
        </w:tc>
        <w:tc>
          <w:tcPr>
            <w:tcW w:w="8353" w:type="dxa"/>
            <w:tcBorders>
              <w:top w:val="single" w:color="auto" w:sz="4" w:space="0"/>
              <w:left w:val="single" w:color="auto" w:sz="4" w:space="0"/>
              <w:bottom w:val="single" w:color="auto" w:sz="12" w:space="0"/>
              <w:right w:val="single" w:color="auto" w:sz="12" w:space="0"/>
            </w:tcBorders>
            <w:vAlign w:val="center"/>
          </w:tcPr>
          <w:p w14:paraId="2C66888D">
            <w:pPr>
              <w:keepNext/>
              <w:adjustRightInd w:val="0"/>
              <w:snapToGrid w:val="0"/>
              <w:spacing w:before="156" w:beforeLines="50" w:line="360" w:lineRule="auto"/>
              <w:ind w:firstLine="0" w:firstLineChars="0"/>
              <w:rPr>
                <w:rFonts w:hint="eastAsia" w:ascii="仿宋" w:hAnsi="仿宋" w:eastAsia="仿宋" w:cs="仿宋"/>
                <w:b w:val="0"/>
                <w:bCs/>
                <w:color w:val="000000" w:themeColor="text1"/>
                <w:kern w:val="0"/>
                <w:sz w:val="21"/>
                <w:szCs w:val="21"/>
                <w:highlight w:val="none"/>
                <w14:textFill>
                  <w14:solidFill>
                    <w14:schemeClr w14:val="tx1"/>
                  </w14:solidFill>
                </w14:textFill>
              </w:rPr>
            </w:pPr>
            <w:r>
              <w:rPr>
                <w:rFonts w:hint="eastAsia" w:ascii="仿宋" w:hAnsi="仿宋" w:eastAsia="仿宋" w:cs="仿宋"/>
                <w:b w:val="0"/>
                <w:bCs/>
                <w:color w:val="000000" w:themeColor="text1"/>
                <w:kern w:val="0"/>
                <w:sz w:val="21"/>
                <w:szCs w:val="21"/>
                <w:highlight w:val="none"/>
                <w14:textFill>
                  <w14:solidFill>
                    <w14:schemeClr w14:val="tx1"/>
                  </w14:solidFill>
                </w14:textFill>
              </w:rPr>
              <w:t>具备各级人员操作日志及查询功能，关键模块要有详细的修改内容记录。</w:t>
            </w:r>
          </w:p>
        </w:tc>
      </w:tr>
    </w:tbl>
    <w:p w14:paraId="466EC2F2">
      <w:pPr>
        <w:ind w:left="0" w:leftChars="0" w:firstLine="0" w:firstLineChars="0"/>
        <w:rPr>
          <w:rFonts w:hint="eastAsia" w:ascii="仿宋" w:hAnsi="仿宋" w:eastAsia="仿宋" w:cs="仿宋"/>
          <w:b w:val="0"/>
          <w:bCs/>
          <w:highlight w:val="none"/>
        </w:rPr>
      </w:pPr>
    </w:p>
    <w:p w14:paraId="551B8519">
      <w:pPr>
        <w:spacing w:line="360" w:lineRule="auto"/>
        <w:ind w:left="0" w:leftChars="0" w:firstLine="480" w:firstLineChars="200"/>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二、集团财务系统需求清单</w:t>
      </w:r>
    </w:p>
    <w:tbl>
      <w:tblPr>
        <w:tblStyle w:val="25"/>
        <w:tblW w:w="9705" w:type="dxa"/>
        <w:tblInd w:w="-5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05"/>
        <w:gridCol w:w="2410"/>
        <w:gridCol w:w="5990"/>
      </w:tblGrid>
      <w:tr w14:paraId="1372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1305" w:type="dxa"/>
            <w:tcBorders>
              <w:tl2br w:val="nil"/>
              <w:tr2bl w:val="nil"/>
            </w:tcBorders>
            <w:shd w:val="clear" w:color="auto" w:fill="auto"/>
            <w:noWrap/>
            <w:vAlign w:val="center"/>
          </w:tcPr>
          <w:p w14:paraId="19A91965">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lang w:val="en-US" w:eastAsia="zh-CN"/>
                <w14:ligatures w14:val="none"/>
              </w:rPr>
            </w:pPr>
            <w:r>
              <w:rPr>
                <w:rFonts w:hint="eastAsia" w:ascii="仿宋" w:hAnsi="仿宋" w:eastAsia="仿宋" w:cs="仿宋"/>
                <w:b w:val="0"/>
                <w:bCs/>
                <w:kern w:val="0"/>
                <w:sz w:val="21"/>
                <w:szCs w:val="21"/>
                <w:highlight w:val="none"/>
                <w14:ligatures w14:val="none"/>
              </w:rPr>
              <w:t>产品</w:t>
            </w:r>
            <w:r>
              <w:rPr>
                <w:rFonts w:hint="eastAsia" w:ascii="仿宋" w:hAnsi="仿宋" w:eastAsia="仿宋" w:cs="仿宋"/>
                <w:b w:val="0"/>
                <w:bCs/>
                <w:kern w:val="0"/>
                <w:sz w:val="21"/>
                <w:szCs w:val="21"/>
                <w:highlight w:val="none"/>
                <w:lang w:val="en-US" w:eastAsia="zh-CN"/>
                <w14:ligatures w14:val="none"/>
              </w:rPr>
              <w:t>领域</w:t>
            </w:r>
          </w:p>
        </w:tc>
        <w:tc>
          <w:tcPr>
            <w:tcW w:w="2410" w:type="dxa"/>
            <w:tcBorders>
              <w:tl2br w:val="nil"/>
              <w:tr2bl w:val="nil"/>
            </w:tcBorders>
            <w:shd w:val="clear" w:color="auto" w:fill="auto"/>
            <w:noWrap/>
            <w:vAlign w:val="center"/>
          </w:tcPr>
          <w:p w14:paraId="5FE41299">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应用</w:t>
            </w:r>
          </w:p>
        </w:tc>
        <w:tc>
          <w:tcPr>
            <w:tcW w:w="5990" w:type="dxa"/>
            <w:tcBorders>
              <w:tl2br w:val="nil"/>
              <w:tr2bl w:val="nil"/>
            </w:tcBorders>
            <w:shd w:val="clear" w:color="auto" w:fill="auto"/>
            <w:noWrap/>
            <w:vAlign w:val="center"/>
          </w:tcPr>
          <w:p w14:paraId="5E27A2FE">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实施要点范围说明</w:t>
            </w:r>
          </w:p>
        </w:tc>
      </w:tr>
      <w:tr w14:paraId="113D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05" w:type="dxa"/>
            <w:vMerge w:val="restart"/>
            <w:tcBorders>
              <w:tl2br w:val="nil"/>
              <w:tr2bl w:val="nil"/>
            </w:tcBorders>
            <w:shd w:val="clear" w:color="auto" w:fill="auto"/>
            <w:vAlign w:val="center"/>
          </w:tcPr>
          <w:p w14:paraId="56AEE239">
            <w:pPr>
              <w:pStyle w:val="41"/>
              <w:snapToGrid w:val="0"/>
              <w:spacing w:before="0" w:line="240" w:lineRule="auto"/>
              <w:ind w:left="0" w:leftChars="0" w:right="0" w:rightChars="0" w:firstLine="0" w:firstLineChars="0"/>
              <w:jc w:val="center"/>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spacing w:val="-1"/>
                <w:sz w:val="21"/>
                <w:highlight w:val="none"/>
                <w:lang w:val="en-US" w:eastAsia="zh-CN"/>
              </w:rPr>
              <w:t>费用报销</w:t>
            </w:r>
          </w:p>
        </w:tc>
        <w:tc>
          <w:tcPr>
            <w:tcW w:w="2410" w:type="dxa"/>
            <w:tcBorders>
              <w:tl2br w:val="nil"/>
              <w:tr2bl w:val="nil"/>
            </w:tcBorders>
            <w:shd w:val="clear" w:color="auto" w:fill="auto"/>
            <w:vAlign w:val="center"/>
          </w:tcPr>
          <w:p w14:paraId="1FD60519">
            <w:pPr>
              <w:pStyle w:val="41"/>
              <w:snapToGrid w:val="0"/>
              <w:spacing w:before="87" w:line="240" w:lineRule="auto"/>
              <w:ind w:left="0" w:leftChars="0" w:right="0" w:rightChars="0" w:firstLine="0" w:firstLineChars="0"/>
              <w:jc w:val="center"/>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spacing w:val="-5"/>
                <w:sz w:val="21"/>
                <w:highlight w:val="none"/>
                <w:lang w:val="en-US" w:eastAsia="zh-CN"/>
              </w:rPr>
              <w:t>差旅费用报销</w:t>
            </w:r>
          </w:p>
        </w:tc>
        <w:tc>
          <w:tcPr>
            <w:tcW w:w="5990" w:type="dxa"/>
            <w:tcBorders>
              <w:tl2br w:val="nil"/>
              <w:tr2bl w:val="nil"/>
            </w:tcBorders>
            <w:shd w:val="clear" w:color="auto" w:fill="auto"/>
            <w:vAlign w:val="center"/>
          </w:tcPr>
          <w:p w14:paraId="6292520B">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color w:val="000000" w:themeColor="text1"/>
                <w:sz w:val="21"/>
                <w:szCs w:val="21"/>
                <w:highlight w:val="none"/>
                <w:lang w:bidi="ar"/>
                <w14:textFill>
                  <w14:solidFill>
                    <w14:schemeClr w14:val="tx1"/>
                  </w14:solidFill>
                </w14:textFill>
              </w:rPr>
              <w:t>提供从出差申请-借款-报销-还款-记账的全过程管理，支持手机端发起出差申请，出差申请审批通过的出差申请可在线进行酒店、机票的预订，出差回来后，一键发起报销，通过对发票进行拍照采集发票，自动校验发票合规性并智能填单，同时进行差旅标准控制，支持超标后填写超标说明，财务审核时系统自动根据单据信息智能审核（侧边栏告知智能审核项），财务复核，审核后可提交银企进行付款并自动生成凭证。</w:t>
            </w:r>
          </w:p>
        </w:tc>
      </w:tr>
      <w:tr w14:paraId="08AD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05" w:type="dxa"/>
            <w:vMerge w:val="continue"/>
            <w:tcBorders>
              <w:tl2br w:val="nil"/>
              <w:tr2bl w:val="nil"/>
            </w:tcBorders>
            <w:shd w:val="clear" w:color="auto" w:fill="auto"/>
            <w:vAlign w:val="center"/>
          </w:tcPr>
          <w:p w14:paraId="140B7D00">
            <w:pPr>
              <w:pStyle w:val="41"/>
              <w:snapToGrid w:val="0"/>
              <w:spacing w:before="0" w:line="240" w:lineRule="auto"/>
              <w:ind w:left="0" w:leftChars="0" w:right="0" w:rightChars="0" w:firstLine="0" w:firstLineChars="0"/>
              <w:jc w:val="center"/>
              <w:rPr>
                <w:rFonts w:hint="eastAsia" w:ascii="仿宋" w:hAnsi="仿宋" w:eastAsia="仿宋" w:cs="仿宋"/>
                <w:b w:val="0"/>
                <w:bCs/>
                <w:kern w:val="0"/>
                <w:sz w:val="21"/>
                <w:szCs w:val="21"/>
                <w:highlight w:val="none"/>
                <w14:ligatures w14:val="none"/>
              </w:rPr>
            </w:pPr>
          </w:p>
        </w:tc>
        <w:tc>
          <w:tcPr>
            <w:tcW w:w="2410" w:type="dxa"/>
            <w:tcBorders>
              <w:tl2br w:val="nil"/>
              <w:tr2bl w:val="nil"/>
            </w:tcBorders>
            <w:shd w:val="clear" w:color="auto" w:fill="auto"/>
            <w:vAlign w:val="center"/>
          </w:tcPr>
          <w:p w14:paraId="559C7B0E">
            <w:pPr>
              <w:pStyle w:val="41"/>
              <w:snapToGrid w:val="0"/>
              <w:spacing w:before="87" w:line="240" w:lineRule="auto"/>
              <w:ind w:left="0" w:leftChars="0" w:right="0" w:rightChars="0" w:firstLine="0" w:firstLineChars="0"/>
              <w:jc w:val="center"/>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spacing w:val="-5"/>
                <w:sz w:val="21"/>
                <w:highlight w:val="none"/>
                <w:lang w:val="en-US" w:eastAsia="zh-CN"/>
              </w:rPr>
              <w:t>其他费用报销</w:t>
            </w:r>
          </w:p>
        </w:tc>
        <w:tc>
          <w:tcPr>
            <w:tcW w:w="5990" w:type="dxa"/>
            <w:tcBorders>
              <w:tl2br w:val="nil"/>
              <w:tr2bl w:val="nil"/>
            </w:tcBorders>
            <w:shd w:val="clear" w:color="auto" w:fill="auto"/>
            <w:vAlign w:val="center"/>
          </w:tcPr>
          <w:p w14:paraId="69693AA7">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提供员工日常费用报销，提供包括办公费、业务招待费、邮寄费等费用在内的报销处理，通过对发票进行拍照采集发票，自动校验发票合规性并智能填单，支持额度控制，提供事先借款的功能，财务审核时系统自动根据单据信息智能审核（侧边栏告知智能审核项），财务复核，审核后可提交银企进行付款并自动生成凭证。</w:t>
            </w:r>
          </w:p>
        </w:tc>
      </w:tr>
      <w:tr w14:paraId="1499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305" w:type="dxa"/>
            <w:vMerge w:val="continue"/>
            <w:tcBorders>
              <w:tl2br w:val="nil"/>
              <w:tr2bl w:val="nil"/>
            </w:tcBorders>
            <w:shd w:val="clear" w:color="auto" w:fill="auto"/>
            <w:vAlign w:val="center"/>
          </w:tcPr>
          <w:p w14:paraId="5E025EA9">
            <w:pPr>
              <w:pStyle w:val="41"/>
              <w:snapToGrid w:val="0"/>
              <w:spacing w:before="0" w:line="240" w:lineRule="auto"/>
              <w:ind w:left="0" w:leftChars="0" w:right="0" w:rightChars="0" w:firstLine="0" w:firstLineChars="0"/>
              <w:jc w:val="center"/>
              <w:rPr>
                <w:rFonts w:hint="eastAsia" w:ascii="仿宋" w:hAnsi="仿宋" w:eastAsia="仿宋" w:cs="仿宋"/>
                <w:b w:val="0"/>
                <w:bCs/>
                <w:kern w:val="0"/>
                <w:sz w:val="21"/>
                <w:szCs w:val="21"/>
                <w:highlight w:val="none"/>
                <w14:ligatures w14:val="none"/>
              </w:rPr>
            </w:pPr>
          </w:p>
        </w:tc>
        <w:tc>
          <w:tcPr>
            <w:tcW w:w="2410" w:type="dxa"/>
            <w:tcBorders>
              <w:tl2br w:val="nil"/>
              <w:tr2bl w:val="nil"/>
            </w:tcBorders>
            <w:shd w:val="clear" w:color="auto" w:fill="auto"/>
            <w:vAlign w:val="center"/>
          </w:tcPr>
          <w:p w14:paraId="42409E73">
            <w:pPr>
              <w:pStyle w:val="41"/>
              <w:snapToGrid w:val="0"/>
              <w:spacing w:before="87" w:line="240" w:lineRule="auto"/>
              <w:ind w:left="0" w:leftChars="0" w:right="0" w:rightChars="0" w:firstLine="0" w:firstLineChars="0"/>
              <w:jc w:val="center"/>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spacing w:val="-5"/>
                <w:sz w:val="21"/>
                <w:highlight w:val="none"/>
                <w:lang w:val="en-US" w:eastAsia="zh-CN"/>
              </w:rPr>
              <w:t>对公报销</w:t>
            </w:r>
          </w:p>
        </w:tc>
        <w:tc>
          <w:tcPr>
            <w:tcW w:w="5990" w:type="dxa"/>
            <w:tcBorders>
              <w:tl2br w:val="nil"/>
              <w:tr2bl w:val="nil"/>
            </w:tcBorders>
            <w:shd w:val="clear" w:color="auto" w:fill="auto"/>
            <w:vAlign w:val="center"/>
          </w:tcPr>
          <w:p w14:paraId="7861B683">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打通立项-合同-预付-报账-挂账与多次付款流程，实现</w:t>
            </w:r>
            <w:r>
              <w:rPr>
                <w:rFonts w:hint="eastAsia" w:ascii="仿宋" w:hAnsi="仿宋" w:eastAsia="仿宋" w:cs="仿宋"/>
                <w:b w:val="0"/>
                <w:bCs/>
                <w:kern w:val="0"/>
                <w:sz w:val="21"/>
                <w:szCs w:val="21"/>
                <w:highlight w:val="none"/>
                <w:lang w:val="en-US" w:eastAsia="zh-CN"/>
                <w14:ligatures w14:val="none"/>
              </w:rPr>
              <w:t>对供应商支付</w:t>
            </w:r>
            <w:r>
              <w:rPr>
                <w:rFonts w:hint="eastAsia" w:ascii="仿宋" w:hAnsi="仿宋" w:eastAsia="仿宋" w:cs="仿宋"/>
                <w:b w:val="0"/>
                <w:bCs/>
                <w:kern w:val="0"/>
                <w:sz w:val="21"/>
                <w:szCs w:val="21"/>
                <w:highlight w:val="none"/>
                <w14:ligatures w14:val="none"/>
              </w:rPr>
              <w:t>费用的立项-合同-报销付款的全流程管理，并支持费用预提与费用分摊。</w:t>
            </w:r>
          </w:p>
        </w:tc>
      </w:tr>
      <w:tr w14:paraId="379B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0" w:hRule="atLeast"/>
        </w:trPr>
        <w:tc>
          <w:tcPr>
            <w:tcW w:w="1305" w:type="dxa"/>
            <w:vMerge w:val="continue"/>
            <w:tcBorders>
              <w:tl2br w:val="nil"/>
              <w:tr2bl w:val="nil"/>
            </w:tcBorders>
            <w:shd w:val="clear" w:color="auto" w:fill="auto"/>
            <w:vAlign w:val="center"/>
          </w:tcPr>
          <w:p w14:paraId="677E6F4E">
            <w:pPr>
              <w:pStyle w:val="41"/>
              <w:snapToGrid w:val="0"/>
              <w:spacing w:before="0" w:line="240" w:lineRule="auto"/>
              <w:ind w:left="0" w:leftChars="0" w:right="0" w:rightChars="0" w:firstLine="0" w:firstLineChars="0"/>
              <w:jc w:val="center"/>
              <w:rPr>
                <w:rFonts w:hint="eastAsia" w:ascii="仿宋" w:hAnsi="仿宋" w:eastAsia="仿宋" w:cs="仿宋"/>
                <w:b w:val="0"/>
                <w:bCs/>
                <w:kern w:val="0"/>
                <w:sz w:val="21"/>
                <w:szCs w:val="21"/>
                <w:highlight w:val="none"/>
                <w14:ligatures w14:val="none"/>
              </w:rPr>
            </w:pPr>
          </w:p>
        </w:tc>
        <w:tc>
          <w:tcPr>
            <w:tcW w:w="2410" w:type="dxa"/>
            <w:tcBorders>
              <w:tl2br w:val="nil"/>
              <w:tr2bl w:val="nil"/>
            </w:tcBorders>
            <w:shd w:val="clear" w:color="auto" w:fill="auto"/>
            <w:vAlign w:val="center"/>
          </w:tcPr>
          <w:p w14:paraId="6481EB75">
            <w:pPr>
              <w:pStyle w:val="41"/>
              <w:snapToGrid w:val="0"/>
              <w:spacing w:before="87" w:line="240" w:lineRule="auto"/>
              <w:ind w:left="0" w:leftChars="0" w:right="0" w:rightChars="0" w:firstLine="0" w:firstLineChars="0"/>
              <w:jc w:val="center"/>
              <w:rPr>
                <w:rFonts w:hint="eastAsia" w:ascii="仿宋" w:hAnsi="仿宋" w:eastAsia="仿宋" w:cs="仿宋"/>
                <w:b w:val="0"/>
                <w:bCs/>
                <w:kern w:val="0"/>
                <w:sz w:val="21"/>
                <w:szCs w:val="21"/>
                <w:highlight w:val="none"/>
                <w:lang w:val="en-US" w:eastAsia="zh-CN"/>
                <w14:ligatures w14:val="none"/>
              </w:rPr>
            </w:pPr>
            <w:r>
              <w:rPr>
                <w:rFonts w:hint="eastAsia" w:ascii="仿宋" w:hAnsi="仿宋" w:eastAsia="仿宋" w:cs="仿宋"/>
                <w:b w:val="0"/>
                <w:bCs/>
                <w:spacing w:val="-5"/>
                <w:sz w:val="21"/>
                <w:highlight w:val="none"/>
                <w:lang w:val="en-US" w:eastAsia="zh-CN"/>
              </w:rPr>
              <w:t>报帐工作台</w:t>
            </w:r>
          </w:p>
        </w:tc>
        <w:tc>
          <w:tcPr>
            <w:tcW w:w="5990" w:type="dxa"/>
            <w:tcBorders>
              <w:tl2br w:val="nil"/>
              <w:tr2bl w:val="nil"/>
            </w:tcBorders>
            <w:shd w:val="clear" w:color="auto" w:fill="auto"/>
            <w:vAlign w:val="center"/>
          </w:tcPr>
          <w:p w14:paraId="3CA6394C">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作为统一的报账平台入口，面向全员使用，承载报账业务的发起、审批、查看。在同构系统环境下，除报账工单外，各类报账单均为从各专业应用引入，包括：费用、应收应付、固定资产、总账等。</w:t>
            </w:r>
          </w:p>
        </w:tc>
      </w:tr>
      <w:tr w14:paraId="2E4C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05" w:type="dxa"/>
            <w:vMerge w:val="restart"/>
            <w:tcBorders>
              <w:tl2br w:val="nil"/>
              <w:tr2bl w:val="nil"/>
            </w:tcBorders>
            <w:shd w:val="clear" w:color="auto" w:fill="auto"/>
            <w:vAlign w:val="center"/>
          </w:tcPr>
          <w:p w14:paraId="16DFB9B1">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lang w:val="en-US" w:eastAsia="zh-CN"/>
                <w14:ligatures w14:val="none"/>
              </w:rPr>
            </w:pPr>
            <w:r>
              <w:rPr>
                <w:rFonts w:hint="eastAsia" w:ascii="仿宋" w:hAnsi="仿宋" w:eastAsia="仿宋" w:cs="仿宋"/>
                <w:b w:val="0"/>
                <w:bCs/>
                <w:kern w:val="0"/>
                <w:sz w:val="21"/>
                <w:szCs w:val="21"/>
                <w:highlight w:val="none"/>
                <w14:ligatures w14:val="none"/>
              </w:rPr>
              <w:t>财务</w:t>
            </w:r>
            <w:r>
              <w:rPr>
                <w:rFonts w:hint="eastAsia" w:ascii="仿宋" w:hAnsi="仿宋" w:eastAsia="仿宋" w:cs="仿宋"/>
                <w:b w:val="0"/>
                <w:bCs/>
                <w:kern w:val="0"/>
                <w:sz w:val="21"/>
                <w:szCs w:val="21"/>
                <w:highlight w:val="none"/>
                <w:lang w:val="en-US" w:eastAsia="zh-CN"/>
                <w14:ligatures w14:val="none"/>
              </w:rPr>
              <w:t>核算</w:t>
            </w:r>
          </w:p>
        </w:tc>
        <w:tc>
          <w:tcPr>
            <w:tcW w:w="2410" w:type="dxa"/>
            <w:tcBorders>
              <w:tl2br w:val="nil"/>
              <w:tr2bl w:val="nil"/>
            </w:tcBorders>
            <w:shd w:val="clear" w:color="auto" w:fill="auto"/>
            <w:vAlign w:val="center"/>
          </w:tcPr>
          <w:p w14:paraId="051463DF">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总账</w:t>
            </w:r>
          </w:p>
        </w:tc>
        <w:tc>
          <w:tcPr>
            <w:tcW w:w="5990" w:type="dxa"/>
            <w:tcBorders>
              <w:tl2br w:val="nil"/>
              <w:tr2bl w:val="nil"/>
            </w:tcBorders>
            <w:shd w:val="clear" w:color="auto" w:fill="auto"/>
            <w:vAlign w:val="center"/>
          </w:tcPr>
          <w:p w14:paraId="7A532388">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满足日常财务核算工作中常用的凭证管理、往来核销管理、汇兑损益处理、自定义转账、凭证摊销、结转损益、期末处理、常用账簿查询，实现现金流量分析及查询、各财务组织间的内部交易对账与内部交易协同。</w:t>
            </w:r>
          </w:p>
        </w:tc>
      </w:tr>
      <w:tr w14:paraId="31B6E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05" w:type="dxa"/>
            <w:vMerge w:val="continue"/>
            <w:tcBorders>
              <w:tl2br w:val="nil"/>
              <w:tr2bl w:val="nil"/>
            </w:tcBorders>
            <w:shd w:val="clear" w:color="auto" w:fill="auto"/>
            <w:vAlign w:val="center"/>
          </w:tcPr>
          <w:p w14:paraId="79B30D13">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p>
        </w:tc>
        <w:tc>
          <w:tcPr>
            <w:tcW w:w="2410" w:type="dxa"/>
            <w:tcBorders>
              <w:tl2br w:val="nil"/>
              <w:tr2bl w:val="nil"/>
            </w:tcBorders>
            <w:shd w:val="clear" w:color="auto" w:fill="auto"/>
            <w:vAlign w:val="center"/>
          </w:tcPr>
          <w:p w14:paraId="3D3BACF8">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固定资产</w:t>
            </w:r>
          </w:p>
        </w:tc>
        <w:tc>
          <w:tcPr>
            <w:tcW w:w="5990" w:type="dxa"/>
            <w:tcBorders>
              <w:tl2br w:val="nil"/>
              <w:tr2bl w:val="nil"/>
            </w:tcBorders>
            <w:shd w:val="clear" w:color="auto" w:fill="auto"/>
            <w:vAlign w:val="center"/>
          </w:tcPr>
          <w:p w14:paraId="1B56378E">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实现资产的全生命周期管理，包括固定资产卡片申请、新增、领用、变更、清理、拆分、组合、调拨、评估、减值、抵押、盘点等各种业务，实现自动折旧生成凭证。</w:t>
            </w:r>
          </w:p>
        </w:tc>
      </w:tr>
      <w:tr w14:paraId="320B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05" w:type="dxa"/>
            <w:vMerge w:val="continue"/>
            <w:tcBorders>
              <w:tl2br w:val="nil"/>
              <w:tr2bl w:val="nil"/>
            </w:tcBorders>
            <w:shd w:val="clear" w:color="auto" w:fill="auto"/>
            <w:vAlign w:val="center"/>
          </w:tcPr>
          <w:p w14:paraId="711264A6">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p>
        </w:tc>
        <w:tc>
          <w:tcPr>
            <w:tcW w:w="2410" w:type="dxa"/>
            <w:tcBorders>
              <w:tl2br w:val="nil"/>
              <w:tr2bl w:val="nil"/>
            </w:tcBorders>
            <w:shd w:val="clear" w:color="auto" w:fill="auto"/>
            <w:vAlign w:val="center"/>
          </w:tcPr>
          <w:p w14:paraId="611CECB9">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费用核算</w:t>
            </w:r>
          </w:p>
        </w:tc>
        <w:tc>
          <w:tcPr>
            <w:tcW w:w="5990" w:type="dxa"/>
            <w:tcBorders>
              <w:tl2br w:val="nil"/>
              <w:tr2bl w:val="nil"/>
            </w:tcBorders>
            <w:shd w:val="clear" w:color="auto" w:fill="auto"/>
            <w:vAlign w:val="center"/>
          </w:tcPr>
          <w:p w14:paraId="2761FF81">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实现核算主体对费用报销单据（差旅、费用、对公费用、会议招待费、借款单、还款单等）的查询，提供费用分摊、费用设置等功能，支持费用关联付款与生成凭证等财务处理和报表分析。</w:t>
            </w:r>
          </w:p>
        </w:tc>
      </w:tr>
      <w:tr w14:paraId="2A0A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305" w:type="dxa"/>
            <w:vMerge w:val="continue"/>
            <w:tcBorders>
              <w:tl2br w:val="nil"/>
              <w:tr2bl w:val="nil"/>
            </w:tcBorders>
            <w:shd w:val="clear" w:color="auto" w:fill="auto"/>
            <w:vAlign w:val="center"/>
          </w:tcPr>
          <w:p w14:paraId="4B57871D">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p>
        </w:tc>
        <w:tc>
          <w:tcPr>
            <w:tcW w:w="2410" w:type="dxa"/>
            <w:tcBorders>
              <w:tl2br w:val="nil"/>
              <w:tr2bl w:val="nil"/>
            </w:tcBorders>
            <w:shd w:val="clear" w:color="auto" w:fill="auto"/>
            <w:vAlign w:val="center"/>
          </w:tcPr>
          <w:p w14:paraId="3D061AF6">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出纳</w:t>
            </w:r>
          </w:p>
        </w:tc>
        <w:tc>
          <w:tcPr>
            <w:tcW w:w="5990" w:type="dxa"/>
            <w:tcBorders>
              <w:tl2br w:val="nil"/>
              <w:tr2bl w:val="nil"/>
            </w:tcBorders>
            <w:shd w:val="clear" w:color="auto" w:fill="auto"/>
            <w:vAlign w:val="center"/>
          </w:tcPr>
          <w:p w14:paraId="61A49B1B">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实现出纳日常收付业务（现汇支付、银企直连支付、票据支付、同名转账、现金存取、退款退票）。</w:t>
            </w:r>
          </w:p>
        </w:tc>
      </w:tr>
      <w:tr w14:paraId="4D7B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0" w:hRule="atLeast"/>
        </w:trPr>
        <w:tc>
          <w:tcPr>
            <w:tcW w:w="1305" w:type="dxa"/>
            <w:vMerge w:val="continue"/>
            <w:tcBorders>
              <w:tl2br w:val="nil"/>
              <w:tr2bl w:val="nil"/>
            </w:tcBorders>
            <w:shd w:val="clear" w:color="auto" w:fill="auto"/>
            <w:vAlign w:val="center"/>
          </w:tcPr>
          <w:p w14:paraId="6008704A">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p>
        </w:tc>
        <w:tc>
          <w:tcPr>
            <w:tcW w:w="2410" w:type="dxa"/>
            <w:tcBorders>
              <w:tl2br w:val="nil"/>
              <w:tr2bl w:val="nil"/>
            </w:tcBorders>
            <w:shd w:val="clear" w:color="auto" w:fill="auto"/>
            <w:vAlign w:val="center"/>
          </w:tcPr>
          <w:p w14:paraId="0079982D">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应收</w:t>
            </w:r>
          </w:p>
        </w:tc>
        <w:tc>
          <w:tcPr>
            <w:tcW w:w="5990" w:type="dxa"/>
            <w:tcBorders>
              <w:tl2br w:val="nil"/>
              <w:tr2bl w:val="nil"/>
            </w:tcBorders>
            <w:shd w:val="clear" w:color="auto" w:fill="auto"/>
            <w:vAlign w:val="center"/>
          </w:tcPr>
          <w:p w14:paraId="428B8C92">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支持对客户往来业务的精细化管理，提供应收发票管理、收款管理、往来业务核销管理、自动出具往来汇总表、往来明细表、账龄分析表等内容，应收系统和供应链系统衔接可以提供物料采购结算管理，有效处理物资采购过程中的材料暂估及发票稽核等业务。</w:t>
            </w:r>
          </w:p>
        </w:tc>
      </w:tr>
      <w:tr w14:paraId="2CBE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0" w:hRule="atLeast"/>
        </w:trPr>
        <w:tc>
          <w:tcPr>
            <w:tcW w:w="1305" w:type="dxa"/>
            <w:vMerge w:val="continue"/>
            <w:tcBorders>
              <w:tl2br w:val="nil"/>
              <w:tr2bl w:val="nil"/>
            </w:tcBorders>
            <w:shd w:val="clear" w:color="auto" w:fill="auto"/>
            <w:vAlign w:val="center"/>
          </w:tcPr>
          <w:p w14:paraId="60B60EB9">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p>
        </w:tc>
        <w:tc>
          <w:tcPr>
            <w:tcW w:w="2410" w:type="dxa"/>
            <w:tcBorders>
              <w:tl2br w:val="nil"/>
              <w:tr2bl w:val="nil"/>
            </w:tcBorders>
            <w:shd w:val="clear" w:color="auto" w:fill="auto"/>
            <w:vAlign w:val="center"/>
          </w:tcPr>
          <w:p w14:paraId="798C8693">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应付</w:t>
            </w:r>
          </w:p>
        </w:tc>
        <w:tc>
          <w:tcPr>
            <w:tcW w:w="5990" w:type="dxa"/>
            <w:tcBorders>
              <w:tl2br w:val="nil"/>
              <w:tr2bl w:val="nil"/>
            </w:tcBorders>
            <w:shd w:val="clear" w:color="auto" w:fill="auto"/>
            <w:vAlign w:val="center"/>
          </w:tcPr>
          <w:p w14:paraId="7D4F4451">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支持不同业务处理流程，支持入库暂估 应付、发票确认财务应付、财务应付到付款、财务应付转付、应付采购 费用、应付销售费用、应付代垫费用等业务流程，提供暂估应付单、收 票单、财务应付单等业务承载。支持多种结算模式，支持应付业务期末 处理。应付管理主要模块包括应付处理、发票处理、付款申请、结算处 理、核销处理、期末处理、报表查询等。</w:t>
            </w:r>
          </w:p>
        </w:tc>
      </w:tr>
      <w:tr w14:paraId="5D8D9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05" w:type="dxa"/>
            <w:vMerge w:val="continue"/>
            <w:tcBorders>
              <w:tl2br w:val="nil"/>
              <w:tr2bl w:val="nil"/>
            </w:tcBorders>
            <w:shd w:val="clear" w:color="auto" w:fill="auto"/>
            <w:vAlign w:val="center"/>
          </w:tcPr>
          <w:p w14:paraId="63E5B073">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p>
        </w:tc>
        <w:tc>
          <w:tcPr>
            <w:tcW w:w="2410" w:type="dxa"/>
            <w:tcBorders>
              <w:tl2br w:val="nil"/>
              <w:tr2bl w:val="nil"/>
            </w:tcBorders>
            <w:shd w:val="clear" w:color="auto" w:fill="auto"/>
            <w:vAlign w:val="center"/>
          </w:tcPr>
          <w:p w14:paraId="48C8BA91">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财务报表</w:t>
            </w:r>
          </w:p>
        </w:tc>
        <w:tc>
          <w:tcPr>
            <w:tcW w:w="5990" w:type="dxa"/>
            <w:tcBorders>
              <w:tl2br w:val="nil"/>
              <w:tr2bl w:val="nil"/>
            </w:tcBorders>
            <w:shd w:val="clear" w:color="auto" w:fill="auto"/>
            <w:vAlign w:val="center"/>
          </w:tcPr>
          <w:p w14:paraId="482E3EAB">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通过财务报表可实现单体组织的报表出具，实现报表编制、报表审核、报表上报、报表打印、报表联查、报表查询及分析等功能，快速、准确地从系统中取数，为企业管理分析提供依据。</w:t>
            </w:r>
          </w:p>
        </w:tc>
      </w:tr>
      <w:tr w14:paraId="6B22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0" w:hRule="atLeast"/>
        </w:trPr>
        <w:tc>
          <w:tcPr>
            <w:tcW w:w="1305" w:type="dxa"/>
            <w:vMerge w:val="continue"/>
            <w:tcBorders>
              <w:tl2br w:val="nil"/>
              <w:tr2bl w:val="nil"/>
            </w:tcBorders>
            <w:shd w:val="clear" w:color="auto" w:fill="auto"/>
            <w:vAlign w:val="center"/>
          </w:tcPr>
          <w:p w14:paraId="6B3F090C">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p>
        </w:tc>
        <w:tc>
          <w:tcPr>
            <w:tcW w:w="2410" w:type="dxa"/>
            <w:tcBorders>
              <w:tl2br w:val="nil"/>
              <w:tr2bl w:val="nil"/>
            </w:tcBorders>
            <w:shd w:val="clear" w:color="auto" w:fill="auto"/>
            <w:vAlign w:val="center"/>
          </w:tcPr>
          <w:p w14:paraId="01B0976C">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内部交易对账</w:t>
            </w:r>
          </w:p>
        </w:tc>
        <w:tc>
          <w:tcPr>
            <w:tcW w:w="5990" w:type="dxa"/>
            <w:tcBorders>
              <w:tl2br w:val="nil"/>
              <w:tr2bl w:val="nil"/>
            </w:tcBorders>
            <w:shd w:val="clear" w:color="auto" w:fill="auto"/>
            <w:vAlign w:val="center"/>
          </w:tcPr>
          <w:p w14:paraId="5A880F31">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集团内各成员单位之间定期就相互交易的会计记录进行的数据对账工作即内部交易对账。双方组织通过检查各自内部交易业务有无错记、漏记情况，以确保交易双方各自记录准确无误，其核对结果可以为合并报表系统确定内部交易业务提供数据基础。</w:t>
            </w:r>
          </w:p>
        </w:tc>
      </w:tr>
      <w:tr w14:paraId="6CA4A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0" w:hRule="atLeast"/>
        </w:trPr>
        <w:tc>
          <w:tcPr>
            <w:tcW w:w="1305" w:type="dxa"/>
            <w:vMerge w:val="restart"/>
            <w:tcBorders>
              <w:tl2br w:val="nil"/>
              <w:tr2bl w:val="nil"/>
            </w:tcBorders>
            <w:shd w:val="clear" w:color="auto" w:fill="auto"/>
            <w:vAlign w:val="center"/>
          </w:tcPr>
          <w:p w14:paraId="2F9F3970">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lang w:val="en-US" w:eastAsia="zh-CN"/>
                <w14:ligatures w14:val="none"/>
              </w:rPr>
            </w:pPr>
            <w:r>
              <w:rPr>
                <w:rFonts w:hint="eastAsia" w:ascii="仿宋" w:hAnsi="仿宋" w:eastAsia="仿宋" w:cs="仿宋"/>
                <w:b w:val="0"/>
                <w:bCs/>
                <w:kern w:val="0"/>
                <w:sz w:val="21"/>
                <w:szCs w:val="21"/>
                <w:highlight w:val="none"/>
                <w:lang w:val="en-US" w:eastAsia="zh-CN"/>
                <w14:ligatures w14:val="none"/>
              </w:rPr>
              <w:t>报表及财务分析</w:t>
            </w:r>
          </w:p>
        </w:tc>
        <w:tc>
          <w:tcPr>
            <w:tcW w:w="2410" w:type="dxa"/>
            <w:tcBorders>
              <w:tl2br w:val="nil"/>
              <w:tr2bl w:val="nil"/>
            </w:tcBorders>
            <w:shd w:val="clear" w:color="auto" w:fill="auto"/>
            <w:vAlign w:val="center"/>
          </w:tcPr>
          <w:p w14:paraId="74EF3CBB">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合并报表</w:t>
            </w:r>
          </w:p>
        </w:tc>
        <w:tc>
          <w:tcPr>
            <w:tcW w:w="5990" w:type="dxa"/>
            <w:tcBorders>
              <w:tl2br w:val="nil"/>
              <w:tr2bl w:val="nil"/>
            </w:tcBorders>
            <w:shd w:val="clear" w:color="auto" w:fill="auto"/>
            <w:vAlign w:val="center"/>
          </w:tcPr>
          <w:p w14:paraId="3F80E020">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通过合并报表可实现数据按合并架构快速、准确、实时的合并处理，满足企业对外财务披露和对内管理分析的目的。主要功能包含：</w:t>
            </w:r>
          </w:p>
          <w:p w14:paraId="0C8287B4">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1. 合并体系：包含一套完整的合并架构、合并逻辑以及最终的合并报表。企业可以根据不同的管理目的建立不同的合并体系。体系内通过组织视图和分录共享功能，实现用户自定义合并架构和组织报表数据及分录数据的共享。通过维度化、过程化的配置构建多维模型存储数据。提供非多维结构的拓展字段，支持业务数据的承载、展现和处理，可满足财管合并要求。</w:t>
            </w:r>
          </w:p>
          <w:p w14:paraId="267808B6">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2. 数据采集：通过配置取数公式和集成方案，从总账或其他业务系统中获取报表编报所需的数据，实现数据的编报处理。</w:t>
            </w:r>
          </w:p>
          <w:p w14:paraId="086A7521">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3. 外币折算：设置汇率、折算方式，实现外币报表的自动折算。</w:t>
            </w:r>
          </w:p>
          <w:p w14:paraId="765DCD79">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4. 调整抵销：区分不同层次的调整抵销业务，以分录方式进行调整抵销业务数据的处理。通过股权及权益信息维护、权益抵销底稿等生成权益抵销分录实现内部权益抵销，通过对账管理实现内部往来抵销。</w:t>
            </w:r>
          </w:p>
          <w:p w14:paraId="2DC355E4">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5. 智能合并：按组织架构进行实时合并处理，包括自动进行报表计算、折算、调整、抵销以及生成合并结果。</w:t>
            </w:r>
          </w:p>
          <w:p w14:paraId="13DB9ACC">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6. 查询分析：提供全维度的、自定义的多维查询分析，支持按维度成员层级展开、收缩显示数据。提供工作底稿方式查看数据，更贴合用户的业务使用习惯。支持右键数据追溯功能查询业务数据的构成。</w:t>
            </w:r>
          </w:p>
          <w:p w14:paraId="6BE691E3">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7. 权限管理：按合并体系对用户进行功能授权，同时可实现按维度及维度成员对用户进行授权。</w:t>
            </w:r>
          </w:p>
          <w:p w14:paraId="3056607B">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8. 智能调度：整合合并流程关键节点，实现端到端的定时自动化处理，支持期间管理、集成方案、公式取数、智能合并等功能调度配置。</w:t>
            </w:r>
          </w:p>
          <w:p w14:paraId="73911C4D">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9.内部交易：结合内部交易业务情况自定义设置内部交易抵消底稿模板，引入拓展维数据模型功能，支持灵活配置模板表样和计算公式，对生成内部交易调整抵销分录进行流程化管理。</w:t>
            </w:r>
          </w:p>
          <w:p w14:paraId="1DAE20B6">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10.组织变动数据处理：根据系统预制的股权变动类型生成各个股权变动场景的数据处理方案，依据股权变动类型预制变动维度映射规则，用户自定义固定维度的映射规则，形成完整的维度映射，获取组织变动记录，生成待执行方案列表，并在智能合并时触发该数据处理功能。</w:t>
            </w:r>
          </w:p>
        </w:tc>
      </w:tr>
      <w:tr w14:paraId="4518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05" w:type="dxa"/>
            <w:vMerge w:val="continue"/>
            <w:tcBorders>
              <w:tl2br w:val="nil"/>
              <w:tr2bl w:val="nil"/>
            </w:tcBorders>
            <w:shd w:val="clear" w:color="auto" w:fill="auto"/>
            <w:vAlign w:val="center"/>
          </w:tcPr>
          <w:p w14:paraId="5984BCAA">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p>
        </w:tc>
        <w:tc>
          <w:tcPr>
            <w:tcW w:w="2410" w:type="dxa"/>
            <w:tcBorders>
              <w:tl2br w:val="nil"/>
              <w:tr2bl w:val="nil"/>
            </w:tcBorders>
            <w:shd w:val="clear" w:color="auto" w:fill="auto"/>
            <w:vAlign w:val="center"/>
          </w:tcPr>
          <w:p w14:paraId="5953BDB0">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披露管理</w:t>
            </w:r>
          </w:p>
        </w:tc>
        <w:tc>
          <w:tcPr>
            <w:tcW w:w="5990" w:type="dxa"/>
            <w:tcBorders>
              <w:tl2br w:val="nil"/>
              <w:tr2bl w:val="nil"/>
            </w:tcBorders>
            <w:shd w:val="clear" w:color="auto" w:fill="auto"/>
            <w:vAlign w:val="center"/>
          </w:tcPr>
          <w:p w14:paraId="175CF772">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用于生成固定格式的叙述性报告，可实现报告模板定义、模板生成报告，报告审批等的整套解决方案；应用提供多数据源取数能力、模板样式定义、财务指标定义、可视化图表展现、引用系统报表及报告审批等功能。</w:t>
            </w:r>
          </w:p>
        </w:tc>
      </w:tr>
      <w:tr w14:paraId="176B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0" w:hRule="atLeast"/>
        </w:trPr>
        <w:tc>
          <w:tcPr>
            <w:tcW w:w="1305" w:type="dxa"/>
            <w:vMerge w:val="continue"/>
            <w:tcBorders>
              <w:tl2br w:val="nil"/>
              <w:tr2bl w:val="nil"/>
            </w:tcBorders>
            <w:shd w:val="clear" w:color="auto" w:fill="auto"/>
            <w:vAlign w:val="center"/>
          </w:tcPr>
          <w:p w14:paraId="3E2DBF46">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p>
        </w:tc>
        <w:tc>
          <w:tcPr>
            <w:tcW w:w="2410" w:type="dxa"/>
            <w:tcBorders>
              <w:tl2br w:val="nil"/>
              <w:tr2bl w:val="nil"/>
            </w:tcBorders>
            <w:shd w:val="clear" w:color="auto" w:fill="auto"/>
            <w:vAlign w:val="center"/>
          </w:tcPr>
          <w:p w14:paraId="4D629A7F">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EPM</w:t>
            </w:r>
          </w:p>
        </w:tc>
        <w:tc>
          <w:tcPr>
            <w:tcW w:w="5990" w:type="dxa"/>
            <w:tcBorders>
              <w:tl2br w:val="nil"/>
              <w:tr2bl w:val="nil"/>
            </w:tcBorders>
            <w:shd w:val="clear" w:color="auto" w:fill="auto"/>
            <w:vAlign w:val="center"/>
          </w:tcPr>
          <w:p w14:paraId="6A0FA6F1">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通过安装独立的office/wps客户端插件，用户可在excel或wps中登录合并报表/财务报表等系统，进行公式/集成取数、报表编报、折算/合并/抵消 等各项系统功能操作，可连接系统数据快速生成excel模板表格。可在word中登录使用披露管理，进行报告模板设计、生成报告、报告管理等报告相关处理。</w:t>
            </w:r>
          </w:p>
        </w:tc>
      </w:tr>
      <w:tr w14:paraId="649A3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0" w:hRule="atLeast"/>
        </w:trPr>
        <w:tc>
          <w:tcPr>
            <w:tcW w:w="1305" w:type="dxa"/>
            <w:vMerge w:val="restart"/>
            <w:tcBorders>
              <w:tl2br w:val="nil"/>
              <w:tr2bl w:val="nil"/>
            </w:tcBorders>
            <w:shd w:val="clear" w:color="auto" w:fill="auto"/>
            <w:vAlign w:val="center"/>
          </w:tcPr>
          <w:p w14:paraId="3ECE3D23">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财务</w:t>
            </w:r>
          </w:p>
        </w:tc>
        <w:tc>
          <w:tcPr>
            <w:tcW w:w="2410" w:type="dxa"/>
            <w:tcBorders>
              <w:tl2br w:val="nil"/>
              <w:tr2bl w:val="nil"/>
            </w:tcBorders>
            <w:shd w:val="clear" w:color="auto" w:fill="auto"/>
            <w:vAlign w:val="center"/>
          </w:tcPr>
          <w:p w14:paraId="5D02AD92">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外审文件管理</w:t>
            </w:r>
          </w:p>
        </w:tc>
        <w:tc>
          <w:tcPr>
            <w:tcW w:w="5990" w:type="dxa"/>
            <w:tcBorders>
              <w:tl2br w:val="nil"/>
              <w:tr2bl w:val="nil"/>
            </w:tcBorders>
            <w:shd w:val="clear" w:color="auto" w:fill="auto"/>
            <w:vAlign w:val="center"/>
          </w:tcPr>
          <w:p w14:paraId="0C62CEC9">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按照审计单位要求的文件及数据格式，将系统财务、非财务数据一站式批量导出的应用。主要功能包括：</w:t>
            </w:r>
          </w:p>
          <w:p w14:paraId="2F6B659A">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1.通过定义文件标准、数据类型、数据元素、数据结构、导出方案，来配置审计文件的数据来源以及以何种数据格式、文件格式导出；</w:t>
            </w:r>
          </w:p>
          <w:p w14:paraId="48FAFE36">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2.按照指定核算组织、账簿类型、开始及结束期间、方案，将财务、非财务数据批量导出成符合审计要求的文件；</w:t>
            </w:r>
          </w:p>
        </w:tc>
      </w:tr>
      <w:tr w14:paraId="5B06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05" w:type="dxa"/>
            <w:vMerge w:val="continue"/>
            <w:tcBorders>
              <w:tl2br w:val="nil"/>
              <w:tr2bl w:val="nil"/>
            </w:tcBorders>
            <w:shd w:val="clear" w:color="auto" w:fill="auto"/>
            <w:vAlign w:val="center"/>
          </w:tcPr>
          <w:p w14:paraId="2A5743BD">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14:ligatures w14:val="none"/>
              </w:rPr>
            </w:pPr>
          </w:p>
        </w:tc>
        <w:tc>
          <w:tcPr>
            <w:tcW w:w="2410" w:type="dxa"/>
            <w:tcBorders>
              <w:tl2br w:val="nil"/>
              <w:tr2bl w:val="nil"/>
            </w:tcBorders>
            <w:shd w:val="clear" w:color="auto" w:fill="auto"/>
            <w:vAlign w:val="center"/>
          </w:tcPr>
          <w:p w14:paraId="052B17B2">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结账监控</w:t>
            </w:r>
          </w:p>
        </w:tc>
        <w:tc>
          <w:tcPr>
            <w:tcW w:w="5990" w:type="dxa"/>
            <w:tcBorders>
              <w:tl2br w:val="nil"/>
              <w:tr2bl w:val="nil"/>
            </w:tcBorders>
            <w:shd w:val="clear" w:color="auto" w:fill="auto"/>
            <w:vAlign w:val="center"/>
          </w:tcPr>
          <w:p w14:paraId="198E9140">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根据客户实际需求，自定义配置符合业务场景的期末结账检查项，满足不同的结账检查需求：</w:t>
            </w:r>
          </w:p>
          <w:p w14:paraId="2F50697E">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1、集团设置检查项分配或共享给下级组织，实现集团层面的管控；</w:t>
            </w:r>
          </w:p>
          <w:p w14:paraId="4F739F36">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2、下级组织根据自己的个性化需求设置自己的检查项；</w:t>
            </w:r>
          </w:p>
          <w:p w14:paraId="1A2A42DD">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3、支持按照业务单据和插件形式设置检查项，满足企业复杂的结账检查需求；</w:t>
            </w:r>
          </w:p>
          <w:p w14:paraId="615BB3E8">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4、支持异构业务系统的检查，支持为二开应用和单据设置检查项；</w:t>
            </w:r>
          </w:p>
          <w:p w14:paraId="3D874236">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5、财务系统结账状态检查可以支持期末月结时，跨组织、跨业务系统统一查看账簿当前期间及批量进行结账处理；上线阶段，支持跨组织、跨业务系统统一查看账簿启用期间和是否结束初始化，以便了解上线的进度。</w:t>
            </w:r>
          </w:p>
        </w:tc>
      </w:tr>
      <w:tr w14:paraId="033C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0" w:hRule="atLeast"/>
        </w:trPr>
        <w:tc>
          <w:tcPr>
            <w:tcW w:w="1305" w:type="dxa"/>
            <w:vMerge w:val="continue"/>
            <w:tcBorders>
              <w:tl2br w:val="nil"/>
              <w:tr2bl w:val="nil"/>
            </w:tcBorders>
            <w:shd w:val="clear" w:color="auto" w:fill="auto"/>
            <w:vAlign w:val="center"/>
          </w:tcPr>
          <w:p w14:paraId="0D7117A1">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14:ligatures w14:val="none"/>
              </w:rPr>
            </w:pPr>
          </w:p>
        </w:tc>
        <w:tc>
          <w:tcPr>
            <w:tcW w:w="2410" w:type="dxa"/>
            <w:tcBorders>
              <w:tl2br w:val="nil"/>
              <w:tr2bl w:val="nil"/>
            </w:tcBorders>
            <w:shd w:val="clear" w:color="auto" w:fill="auto"/>
            <w:vAlign w:val="center"/>
          </w:tcPr>
          <w:p w14:paraId="2B1ECDEF">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多核算体系</w:t>
            </w:r>
          </w:p>
        </w:tc>
        <w:tc>
          <w:tcPr>
            <w:tcW w:w="5990" w:type="dxa"/>
            <w:tcBorders>
              <w:tl2br w:val="nil"/>
              <w:tr2bl w:val="nil"/>
            </w:tcBorders>
            <w:shd w:val="clear" w:color="auto" w:fill="auto"/>
            <w:vAlign w:val="center"/>
          </w:tcPr>
          <w:p w14:paraId="250778DD">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在系统内支持基于不同的核算要求建立多个核算体系，例如基于对外报送要求建立法人核算体系，基于内部管控需求建立利润中心</w:t>
            </w:r>
            <w:r>
              <w:rPr>
                <w:rFonts w:hint="eastAsia" w:ascii="仿宋" w:hAnsi="仿宋" w:eastAsia="仿宋" w:cs="仿宋"/>
                <w:b w:val="0"/>
                <w:bCs/>
                <w:kern w:val="0"/>
                <w:sz w:val="21"/>
                <w:szCs w:val="21"/>
                <w:highlight w:val="none"/>
                <w:lang w:eastAsia="zh-CN"/>
                <w14:ligatures w14:val="none"/>
              </w:rPr>
              <w:t>（</w:t>
            </w:r>
            <w:r>
              <w:rPr>
                <w:rFonts w:hint="eastAsia" w:ascii="仿宋" w:hAnsi="仿宋" w:eastAsia="仿宋" w:cs="仿宋"/>
                <w:b w:val="0"/>
                <w:bCs/>
                <w:kern w:val="0"/>
                <w:sz w:val="21"/>
                <w:szCs w:val="21"/>
                <w:highlight w:val="none"/>
                <w:lang w:val="en-US" w:eastAsia="zh-CN"/>
                <w14:ligatures w14:val="none"/>
              </w:rPr>
              <w:t>项目</w:t>
            </w:r>
            <w:r>
              <w:rPr>
                <w:rFonts w:hint="eastAsia" w:ascii="仿宋" w:hAnsi="仿宋" w:eastAsia="仿宋" w:cs="仿宋"/>
                <w:b w:val="0"/>
                <w:bCs/>
                <w:kern w:val="0"/>
                <w:sz w:val="21"/>
                <w:szCs w:val="21"/>
                <w:highlight w:val="none"/>
                <w:lang w:eastAsia="zh-CN"/>
                <w14:ligatures w14:val="none"/>
              </w:rPr>
              <w:t>）</w:t>
            </w:r>
            <w:r>
              <w:rPr>
                <w:rFonts w:hint="eastAsia" w:ascii="仿宋" w:hAnsi="仿宋" w:eastAsia="仿宋" w:cs="仿宋"/>
                <w:b w:val="0"/>
                <w:bCs/>
                <w:kern w:val="0"/>
                <w:sz w:val="21"/>
                <w:szCs w:val="21"/>
                <w:highlight w:val="none"/>
                <w14:ligatures w14:val="none"/>
              </w:rPr>
              <w:t>核算体系。</w:t>
            </w:r>
          </w:p>
        </w:tc>
      </w:tr>
      <w:tr w14:paraId="4DAF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0" w:hRule="atLeast"/>
        </w:trPr>
        <w:tc>
          <w:tcPr>
            <w:tcW w:w="1305" w:type="dxa"/>
            <w:vMerge w:val="continue"/>
            <w:tcBorders>
              <w:tl2br w:val="nil"/>
              <w:tr2bl w:val="nil"/>
            </w:tcBorders>
            <w:shd w:val="clear" w:color="auto" w:fill="auto"/>
            <w:vAlign w:val="center"/>
          </w:tcPr>
          <w:p w14:paraId="311351C6">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14:ligatures w14:val="none"/>
              </w:rPr>
            </w:pPr>
          </w:p>
        </w:tc>
        <w:tc>
          <w:tcPr>
            <w:tcW w:w="2410" w:type="dxa"/>
            <w:tcBorders>
              <w:tl2br w:val="nil"/>
              <w:tr2bl w:val="nil"/>
            </w:tcBorders>
            <w:shd w:val="clear" w:color="auto" w:fill="auto"/>
            <w:vAlign w:val="center"/>
          </w:tcPr>
          <w:p w14:paraId="0D83962B">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智能核算机器人</w:t>
            </w:r>
          </w:p>
        </w:tc>
        <w:tc>
          <w:tcPr>
            <w:tcW w:w="5990" w:type="dxa"/>
            <w:tcBorders>
              <w:tl2br w:val="nil"/>
              <w:tr2bl w:val="nil"/>
            </w:tcBorders>
            <w:shd w:val="clear" w:color="auto" w:fill="auto"/>
            <w:vAlign w:val="center"/>
          </w:tcPr>
          <w:p w14:paraId="2A93A8CD">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通过智能机器人代替人工完成重复耗时的工作，减少财务人员在简单重复的工作上的耗时，让其把精力投入到有高产出的复杂业务里面。智能核算机器人是一个平台，财务人员可以定义业务单据转换成凭证的DAP规则，可以进行业务系统的对账，可以定义一个全流程的无人会计方案，让财务机器人帮助你完成所有的事务。让财务人员真正做一个财务“管家”，只负责监督执行的进度和结果。</w:t>
            </w:r>
          </w:p>
          <w:p w14:paraId="59F839F8">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智能核算机器人主要包含以下内容：</w:t>
            </w:r>
          </w:p>
          <w:p w14:paraId="4C9316D3">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1、智能方案：智能核算方案（定义可以执行无人会计操作的应用方案）和执行日志（智能核算方案执行后都会被记录执行日志）</w:t>
            </w:r>
          </w:p>
          <w:p w14:paraId="5780C3A5">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2、和业务单据生成凭证相关：定义凭证模板的基础数据（包含科目相关的影响因素、核算维度相关的映射类型、数据映射关系和凭证模板）和凭证生成相关（包含手工生成凭证的凭证生成、凭证生成报告和总账凭证查询功能）；</w:t>
            </w:r>
          </w:p>
          <w:p w14:paraId="22F1118E">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3、账务中心：包含与业务对账相关的对账方案定义、对账方案执行、对账结果及差异的查看、记账中心功能；</w:t>
            </w:r>
          </w:p>
          <w:p w14:paraId="3DB1326B">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4、凭证实物归档：支持根据影像编码检索凭证信息，将业务单据与凭证实现快速的整理、分类，装订成实物档案。</w:t>
            </w:r>
          </w:p>
        </w:tc>
      </w:tr>
      <w:tr w14:paraId="3509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05" w:type="dxa"/>
            <w:tcBorders>
              <w:tl2br w:val="nil"/>
              <w:tr2bl w:val="nil"/>
            </w:tcBorders>
            <w:shd w:val="clear" w:color="auto" w:fill="auto"/>
            <w:vAlign w:val="center"/>
          </w:tcPr>
          <w:p w14:paraId="17470DB3">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流程服务</w:t>
            </w:r>
          </w:p>
        </w:tc>
        <w:tc>
          <w:tcPr>
            <w:tcW w:w="2410" w:type="dxa"/>
            <w:tcBorders>
              <w:tl2br w:val="nil"/>
              <w:tr2bl w:val="nil"/>
            </w:tcBorders>
            <w:shd w:val="clear" w:color="auto" w:fill="auto"/>
            <w:vAlign w:val="center"/>
          </w:tcPr>
          <w:p w14:paraId="5BEA6E1F">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工作流服务-无限版</w:t>
            </w:r>
          </w:p>
        </w:tc>
        <w:tc>
          <w:tcPr>
            <w:tcW w:w="5990" w:type="dxa"/>
            <w:tcBorders>
              <w:tl2br w:val="nil"/>
              <w:tr2bl w:val="nil"/>
            </w:tcBorders>
            <w:shd w:val="clear" w:color="auto" w:fill="auto"/>
            <w:vAlign w:val="center"/>
          </w:tcPr>
          <w:p w14:paraId="0721EBDB">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lang w:val="en-US" w:eastAsia="zh-CN"/>
                <w14:ligatures w14:val="none"/>
              </w:rPr>
              <w:t>实现流程设计、监控，</w:t>
            </w:r>
            <w:r>
              <w:rPr>
                <w:rFonts w:hint="eastAsia" w:ascii="仿宋" w:hAnsi="仿宋" w:eastAsia="仿宋" w:cs="仿宋"/>
                <w:b w:val="0"/>
                <w:bCs/>
                <w:kern w:val="0"/>
                <w:sz w:val="21"/>
                <w:szCs w:val="21"/>
                <w:highlight w:val="none"/>
                <w14:ligatures w14:val="none"/>
              </w:rPr>
              <w:t>不限制流程数量</w:t>
            </w:r>
          </w:p>
        </w:tc>
      </w:tr>
      <w:tr w14:paraId="0D38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05" w:type="dxa"/>
            <w:tcBorders>
              <w:tl2br w:val="nil"/>
              <w:tr2bl w:val="nil"/>
            </w:tcBorders>
            <w:shd w:val="clear" w:color="auto" w:fill="auto"/>
            <w:vAlign w:val="center"/>
          </w:tcPr>
          <w:p w14:paraId="78E780C0">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集成服务</w:t>
            </w:r>
          </w:p>
        </w:tc>
        <w:tc>
          <w:tcPr>
            <w:tcW w:w="2410" w:type="dxa"/>
            <w:tcBorders>
              <w:tl2br w:val="nil"/>
              <w:tr2bl w:val="nil"/>
            </w:tcBorders>
            <w:shd w:val="clear" w:color="auto" w:fill="auto"/>
            <w:vAlign w:val="center"/>
          </w:tcPr>
          <w:p w14:paraId="602E1603">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集成管理</w:t>
            </w:r>
          </w:p>
        </w:tc>
        <w:tc>
          <w:tcPr>
            <w:tcW w:w="5990" w:type="dxa"/>
            <w:tcBorders>
              <w:tl2br w:val="nil"/>
              <w:tr2bl w:val="nil"/>
            </w:tcBorders>
            <w:shd w:val="clear" w:color="auto" w:fill="auto"/>
            <w:vAlign w:val="center"/>
          </w:tcPr>
          <w:p w14:paraId="0D585A7D">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lang w:val="en-US" w:eastAsia="zh-CN"/>
                <w14:ligatures w14:val="none"/>
              </w:rPr>
              <w:t>集成服务云是一款采用元数据模型驱动的低代码集成工具，提供了数据模型管理、映射、编排、日志、脚本等集成核心引擎组件，通过可视化配置快速实现客户技术多样、灵活多变的集成需求。集成服务云支持组件资源高度复用、可组装，共性方案随时获取，个性方案按需灵活扩展，日志监控全链路跟踪，让集成开发更加简单、执行过程更加可靠、问题风险更加可控。平台已支持数据集成、API集成、消息集成、服务编排、方案中心等核心集成功能。</w:t>
            </w:r>
          </w:p>
        </w:tc>
      </w:tr>
      <w:tr w14:paraId="36B6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05" w:type="dxa"/>
            <w:vMerge w:val="restart"/>
            <w:tcBorders>
              <w:tl2br w:val="nil"/>
              <w:tr2bl w:val="nil"/>
            </w:tcBorders>
            <w:shd w:val="clear" w:color="auto" w:fill="auto"/>
            <w:vAlign w:val="center"/>
          </w:tcPr>
          <w:p w14:paraId="4B05187C">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数据服务</w:t>
            </w:r>
          </w:p>
        </w:tc>
        <w:tc>
          <w:tcPr>
            <w:tcW w:w="2410" w:type="dxa"/>
            <w:tcBorders>
              <w:tl2br w:val="nil"/>
              <w:tr2bl w:val="nil"/>
            </w:tcBorders>
            <w:shd w:val="clear" w:color="auto" w:fill="auto"/>
            <w:vAlign w:val="center"/>
          </w:tcPr>
          <w:p w14:paraId="4FB1C035">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lang w:eastAsia="zh-CN"/>
                <w14:ligatures w14:val="none"/>
              </w:rPr>
            </w:pPr>
            <w:r>
              <w:rPr>
                <w:rFonts w:hint="eastAsia" w:ascii="仿宋" w:hAnsi="仿宋" w:eastAsia="仿宋" w:cs="仿宋"/>
                <w:b w:val="0"/>
                <w:bCs/>
                <w:kern w:val="0"/>
                <w:sz w:val="21"/>
                <w:szCs w:val="21"/>
                <w:highlight w:val="none"/>
                <w14:ligatures w14:val="none"/>
              </w:rPr>
              <w:t>轻分析</w:t>
            </w:r>
            <w:r>
              <w:rPr>
                <w:rFonts w:hint="eastAsia" w:ascii="仿宋" w:hAnsi="仿宋" w:eastAsia="仿宋" w:cs="仿宋"/>
                <w:b w:val="0"/>
                <w:bCs/>
                <w:kern w:val="0"/>
                <w:sz w:val="21"/>
                <w:szCs w:val="21"/>
                <w:highlight w:val="none"/>
                <w:lang w:eastAsia="zh-CN"/>
                <w14:ligatures w14:val="none"/>
              </w:rPr>
              <w:t>（</w:t>
            </w:r>
            <w:r>
              <w:rPr>
                <w:rFonts w:hint="eastAsia" w:ascii="仿宋" w:hAnsi="仿宋" w:eastAsia="仿宋" w:cs="仿宋"/>
                <w:b w:val="0"/>
                <w:bCs/>
                <w:kern w:val="0"/>
                <w:sz w:val="21"/>
                <w:szCs w:val="21"/>
                <w:highlight w:val="none"/>
                <w:lang w:val="en-US" w:eastAsia="zh-CN"/>
                <w14:ligatures w14:val="none"/>
              </w:rPr>
              <w:t>个性报表</w:t>
            </w:r>
            <w:r>
              <w:rPr>
                <w:rFonts w:hint="eastAsia" w:ascii="仿宋" w:hAnsi="仿宋" w:eastAsia="仿宋" w:cs="仿宋"/>
                <w:b w:val="0"/>
                <w:bCs/>
                <w:kern w:val="0"/>
                <w:sz w:val="21"/>
                <w:szCs w:val="21"/>
                <w:highlight w:val="none"/>
                <w:lang w:eastAsia="zh-CN"/>
                <w14:ligatures w14:val="none"/>
              </w:rPr>
              <w:t>）</w:t>
            </w:r>
          </w:p>
        </w:tc>
        <w:tc>
          <w:tcPr>
            <w:tcW w:w="5990" w:type="dxa"/>
            <w:tcBorders>
              <w:tl2br w:val="nil"/>
              <w:tr2bl w:val="nil"/>
            </w:tcBorders>
            <w:shd w:val="clear" w:color="auto" w:fill="auto"/>
            <w:vAlign w:val="center"/>
          </w:tcPr>
          <w:p w14:paraId="10A53645">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轻分析是自主研发的，拥有独立知识产权和核心技术的数据分析与数据可视化平台，它包含主题式分析和嵌入式分析两个应用场景。</w:t>
            </w:r>
          </w:p>
          <w:p w14:paraId="41252B15">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 xml:space="preserve">1、主题式分析 </w:t>
            </w:r>
          </w:p>
          <w:p w14:paraId="1D4CC127">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通过主题式分析，业务用户能够连接各种类型的数据源，自由探索和发现其中的业务规律和价值。主题式分析包括数据分析、数据斗方、数据准备、移动轻应用和仪表板五个子模块。</w:t>
            </w:r>
          </w:p>
          <w:p w14:paraId="40529428">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2、嵌入式分析</w:t>
            </w:r>
          </w:p>
          <w:p w14:paraId="4613BAFC">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嵌入式分析是轻分析与业务系统深度融合的应用形态。通过嵌入式分析，业务用户能够从单据、报表等软件功能上，一键切换到轻分析，对相关业务数据进行分析和可视化，让数据随时随地支撑用户的业务决策。</w:t>
            </w:r>
          </w:p>
        </w:tc>
      </w:tr>
      <w:tr w14:paraId="0087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0" w:hRule="atLeast"/>
        </w:trPr>
        <w:tc>
          <w:tcPr>
            <w:tcW w:w="1305" w:type="dxa"/>
            <w:vMerge w:val="continue"/>
            <w:tcBorders>
              <w:tl2br w:val="nil"/>
              <w:tr2bl w:val="nil"/>
            </w:tcBorders>
            <w:shd w:val="clear" w:color="auto" w:fill="auto"/>
            <w:vAlign w:val="center"/>
          </w:tcPr>
          <w:p w14:paraId="477DFBFC">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14:ligatures w14:val="none"/>
              </w:rPr>
            </w:pPr>
          </w:p>
        </w:tc>
        <w:tc>
          <w:tcPr>
            <w:tcW w:w="2410" w:type="dxa"/>
            <w:tcBorders>
              <w:tl2br w:val="nil"/>
              <w:tr2bl w:val="nil"/>
            </w:tcBorders>
            <w:shd w:val="clear" w:color="auto" w:fill="auto"/>
            <w:vAlign w:val="center"/>
          </w:tcPr>
          <w:p w14:paraId="5D62DE57">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智能数据洞察</w:t>
            </w:r>
          </w:p>
        </w:tc>
        <w:tc>
          <w:tcPr>
            <w:tcW w:w="5990" w:type="dxa"/>
            <w:tcBorders>
              <w:tl2br w:val="nil"/>
              <w:tr2bl w:val="nil"/>
            </w:tcBorders>
            <w:shd w:val="clear" w:color="auto" w:fill="auto"/>
            <w:vAlign w:val="center"/>
          </w:tcPr>
          <w:p w14:paraId="7EBC6598">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智能数据洞察支持为不同的单据配置检查要点、信息查询项，为不同审核对象配置智能审核方案，在单据提交检查、单据洞察、单据审核、工作流审核场景中适用。支持的场景化洞察内容包括：单据检查、票据检查、事件重复、敏感词检测、新闻类信息查询、工商信息查询、附件检查、账表查询、上下游关键单据节点、未来计划展示类等。</w:t>
            </w:r>
          </w:p>
        </w:tc>
      </w:tr>
      <w:tr w14:paraId="6021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1305" w:type="dxa"/>
            <w:vMerge w:val="restart"/>
            <w:tcBorders>
              <w:tl2br w:val="nil"/>
              <w:tr2bl w:val="nil"/>
            </w:tcBorders>
            <w:shd w:val="clear" w:color="auto" w:fill="auto"/>
            <w:vAlign w:val="center"/>
          </w:tcPr>
          <w:p w14:paraId="0B38556C">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基础平台</w:t>
            </w:r>
          </w:p>
        </w:tc>
        <w:tc>
          <w:tcPr>
            <w:tcW w:w="2410" w:type="dxa"/>
            <w:tcBorders>
              <w:tl2br w:val="nil"/>
              <w:tr2bl w:val="nil"/>
            </w:tcBorders>
            <w:shd w:val="clear" w:color="auto" w:fill="auto"/>
            <w:vAlign w:val="center"/>
          </w:tcPr>
          <w:p w14:paraId="5D09E30B">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容器服务</w:t>
            </w:r>
          </w:p>
        </w:tc>
        <w:tc>
          <w:tcPr>
            <w:tcW w:w="5990" w:type="dxa"/>
            <w:tcBorders>
              <w:tl2br w:val="nil"/>
              <w:tr2bl w:val="nil"/>
            </w:tcBorders>
            <w:shd w:val="clear" w:color="auto" w:fill="auto"/>
            <w:vAlign w:val="center"/>
          </w:tcPr>
          <w:p w14:paraId="5E676AC7">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基于云原生容器编排技术，快速、安全的部署开发平台应用，帮助用户构建轻量级、可伸缩、高可用、高安全的平台。支持应用容器化部署和管理；支持分应用、多实例高可用、弹性伸缩部署。</w:t>
            </w:r>
          </w:p>
        </w:tc>
      </w:tr>
      <w:tr w14:paraId="2696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1305" w:type="dxa"/>
            <w:vMerge w:val="continue"/>
            <w:tcBorders>
              <w:tl2br w:val="nil"/>
              <w:tr2bl w:val="nil"/>
            </w:tcBorders>
            <w:shd w:val="clear" w:color="auto" w:fill="auto"/>
            <w:vAlign w:val="center"/>
          </w:tcPr>
          <w:p w14:paraId="32D1FDFC">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14:ligatures w14:val="none"/>
              </w:rPr>
            </w:pPr>
          </w:p>
        </w:tc>
        <w:tc>
          <w:tcPr>
            <w:tcW w:w="2410" w:type="dxa"/>
            <w:tcBorders>
              <w:tl2br w:val="nil"/>
              <w:tr2bl w:val="nil"/>
            </w:tcBorders>
            <w:shd w:val="clear" w:color="auto" w:fill="auto"/>
            <w:vAlign w:val="center"/>
          </w:tcPr>
          <w:p w14:paraId="5D3E566B">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监控报警</w:t>
            </w:r>
          </w:p>
        </w:tc>
        <w:tc>
          <w:tcPr>
            <w:tcW w:w="5990" w:type="dxa"/>
            <w:tcBorders>
              <w:tl2br w:val="nil"/>
              <w:tr2bl w:val="nil"/>
            </w:tcBorders>
            <w:shd w:val="clear" w:color="auto" w:fill="auto"/>
            <w:vAlign w:val="center"/>
          </w:tcPr>
          <w:p w14:paraId="43E5908A">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以可观测性能力（日志、指标、调用链），可对系统中服务器、数据库、中间件等资源和应用服务进行监控，同时具备应用日志查询及性能诊断功能、报警通知功能，帮助企业实时、精确地掌控业务和资源的健康状况，快速定位故障根因，提升故障排查和解决效率。</w:t>
            </w:r>
          </w:p>
        </w:tc>
      </w:tr>
      <w:tr w14:paraId="4AE5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0" w:hRule="atLeast"/>
        </w:trPr>
        <w:tc>
          <w:tcPr>
            <w:tcW w:w="1305" w:type="dxa"/>
            <w:vMerge w:val="restart"/>
            <w:tcBorders>
              <w:tl2br w:val="nil"/>
              <w:tr2bl w:val="nil"/>
            </w:tcBorders>
            <w:shd w:val="clear" w:color="auto" w:fill="auto"/>
            <w:vAlign w:val="center"/>
          </w:tcPr>
          <w:p w14:paraId="76C441F3">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发票服务</w:t>
            </w:r>
          </w:p>
        </w:tc>
        <w:tc>
          <w:tcPr>
            <w:tcW w:w="2410" w:type="dxa"/>
            <w:tcBorders>
              <w:tl2br w:val="nil"/>
              <w:tr2bl w:val="nil"/>
            </w:tcBorders>
            <w:shd w:val="clear" w:color="auto" w:fill="auto"/>
            <w:vAlign w:val="center"/>
          </w:tcPr>
          <w:p w14:paraId="672181D3">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电子发票基础服务</w:t>
            </w:r>
          </w:p>
        </w:tc>
        <w:tc>
          <w:tcPr>
            <w:tcW w:w="5990" w:type="dxa"/>
            <w:tcBorders>
              <w:tl2br w:val="nil"/>
              <w:tr2bl w:val="nil"/>
            </w:tcBorders>
            <w:shd w:val="clear" w:color="auto" w:fill="auto"/>
            <w:vAlign w:val="center"/>
          </w:tcPr>
          <w:p w14:paraId="0B7A350C">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1、根据国税总局规定，本服务免费向客户开放使用，企业可以根据发票云API文档，自行完成电子发票的开发对接。</w:t>
            </w:r>
          </w:p>
          <w:p w14:paraId="392BE188">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2、本服务包含电子发票版式文件的生成、打印、查询和交付等基础服务项目。</w:t>
            </w:r>
          </w:p>
          <w:p w14:paraId="140C9C99">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3、基础服务项目具体包括：电子发票电子签章、发票开具、发票红冲、发票开具签名上传、库存下载更新、发票打印、发票查询和发票邮箱推送。</w:t>
            </w:r>
          </w:p>
        </w:tc>
      </w:tr>
      <w:tr w14:paraId="3D00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05" w:type="dxa"/>
            <w:vMerge w:val="continue"/>
            <w:tcBorders>
              <w:tl2br w:val="nil"/>
              <w:tr2bl w:val="nil"/>
            </w:tcBorders>
            <w:shd w:val="clear" w:color="auto" w:fill="auto"/>
            <w:vAlign w:val="center"/>
          </w:tcPr>
          <w:p w14:paraId="442DD560">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14:ligatures w14:val="none"/>
              </w:rPr>
            </w:pPr>
          </w:p>
        </w:tc>
        <w:tc>
          <w:tcPr>
            <w:tcW w:w="2410" w:type="dxa"/>
            <w:tcBorders>
              <w:tl2br w:val="nil"/>
              <w:tr2bl w:val="nil"/>
            </w:tcBorders>
            <w:shd w:val="clear" w:color="auto" w:fill="auto"/>
            <w:vAlign w:val="center"/>
          </w:tcPr>
          <w:p w14:paraId="475209DD">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center"/>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收票管理</w:t>
            </w:r>
          </w:p>
        </w:tc>
        <w:tc>
          <w:tcPr>
            <w:tcW w:w="5990" w:type="dxa"/>
            <w:tcBorders>
              <w:tl2br w:val="nil"/>
              <w:tr2bl w:val="nil"/>
            </w:tcBorders>
            <w:shd w:val="clear" w:color="auto" w:fill="auto"/>
            <w:vAlign w:val="center"/>
          </w:tcPr>
          <w:p w14:paraId="10E6C691">
            <w:pPr>
              <w:keepNext w:val="0"/>
              <w:keepLines w:val="0"/>
              <w:pageBreakBefore w:val="0"/>
              <w:widowControl/>
              <w:kinsoku/>
              <w:wordWrap/>
              <w:overflowPunct w:val="0"/>
              <w:topLinePunct w:val="0"/>
              <w:autoSpaceDE w:val="0"/>
              <w:autoSpaceDN w:val="0"/>
              <w:bidi w:val="0"/>
              <w:adjustRightInd w:val="0"/>
              <w:snapToGrid/>
              <w:spacing w:line="240" w:lineRule="auto"/>
              <w:ind w:firstLine="0" w:firstLineChars="0"/>
              <w:jc w:val="left"/>
              <w:textAlignment w:val="baseline"/>
              <w:rPr>
                <w:rFonts w:hint="eastAsia" w:ascii="仿宋" w:hAnsi="仿宋" w:eastAsia="仿宋" w:cs="仿宋"/>
                <w:b w:val="0"/>
                <w:bCs/>
                <w:kern w:val="0"/>
                <w:sz w:val="21"/>
                <w:szCs w:val="21"/>
                <w:highlight w:val="none"/>
                <w14:ligatures w14:val="none"/>
              </w:rPr>
            </w:pPr>
            <w:r>
              <w:rPr>
                <w:rFonts w:hint="eastAsia" w:ascii="仿宋" w:hAnsi="仿宋" w:eastAsia="仿宋" w:cs="仿宋"/>
                <w:b w:val="0"/>
                <w:bCs/>
                <w:kern w:val="0"/>
                <w:sz w:val="21"/>
                <w:szCs w:val="21"/>
                <w:highlight w:val="none"/>
                <w14:ligatures w14:val="none"/>
              </w:rPr>
              <w:t>融合多种采集渠道（如PC端、移动端、微信卡包、短信邮箱等），实现进项发票的全面、便捷采集，并利用智能解析技术自动完成税额计算、价税分离及抵扣资格判断。应提供灵活的合规性配置，支持自定义校验规则以在导入环节拦截不合规票据，并对发票被红冲、销方走逃等异常情况及时预警。通过构建进项全票池，系统需能自动更新发票状态，支持查询、维护及直连税局进行入账与勾选认证，允许配置自动化处理方案。最终，基于进项数据形成可视化看板，从多维度呈现统计分析结果，辅助评估税务风险及税负影响。</w:t>
            </w:r>
          </w:p>
        </w:tc>
      </w:tr>
    </w:tbl>
    <w:p w14:paraId="08874AC5">
      <w:pPr>
        <w:spacing w:line="360" w:lineRule="auto"/>
        <w:ind w:left="0" w:leftChars="0" w:firstLine="0" w:firstLineChars="0"/>
        <w:jc w:val="center"/>
        <w:rPr>
          <w:rFonts w:hint="eastAsia" w:ascii="仿宋" w:hAnsi="仿宋" w:eastAsia="仿宋" w:cs="仿宋"/>
          <w:b/>
          <w:bCs w:val="0"/>
          <w:sz w:val="24"/>
          <w:szCs w:val="24"/>
          <w:highlight w:val="none"/>
        </w:rPr>
      </w:pPr>
      <w:bookmarkStart w:id="456" w:name="_Toc18624407"/>
      <w:bookmarkStart w:id="457" w:name="_Toc513492493"/>
      <w:bookmarkStart w:id="458" w:name="_Toc515008744"/>
      <w:r>
        <w:rPr>
          <w:rFonts w:hint="eastAsia" w:ascii="仿宋" w:hAnsi="仿宋" w:eastAsia="仿宋" w:cs="仿宋"/>
          <w:b/>
          <w:bCs w:val="0"/>
          <w:sz w:val="24"/>
          <w:szCs w:val="24"/>
          <w:highlight w:val="none"/>
          <w:lang w:val="en-US" w:eastAsia="zh-CN"/>
        </w:rPr>
        <w:t>三</w:t>
      </w:r>
      <w:r>
        <w:rPr>
          <w:rFonts w:hint="eastAsia" w:ascii="仿宋" w:hAnsi="仿宋" w:eastAsia="仿宋" w:cs="仿宋"/>
          <w:b/>
          <w:bCs w:val="0"/>
          <w:sz w:val="24"/>
          <w:szCs w:val="24"/>
          <w:highlight w:val="none"/>
        </w:rPr>
        <w:t>、项目实施要求</w:t>
      </w:r>
      <w:bookmarkEnd w:id="456"/>
      <w:bookmarkEnd w:id="457"/>
      <w:bookmarkEnd w:id="458"/>
    </w:p>
    <w:p w14:paraId="494C1DF7">
      <w:pPr>
        <w:spacing w:line="360" w:lineRule="auto"/>
        <w:ind w:firstLine="480" w:firstLineChars="200"/>
        <w:rPr>
          <w:rFonts w:hint="eastAsia" w:ascii="仿宋" w:hAnsi="仿宋" w:eastAsia="仿宋" w:cs="仿宋"/>
          <w:b w:val="0"/>
          <w:bCs/>
          <w:sz w:val="24"/>
          <w:szCs w:val="24"/>
          <w:highlight w:val="none"/>
        </w:rPr>
      </w:pPr>
      <w:bookmarkStart w:id="459" w:name="_Toc18624408"/>
      <w:bookmarkStart w:id="460" w:name="_Toc281994209"/>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.1项目实施方案</w:t>
      </w:r>
      <w:bookmarkEnd w:id="459"/>
      <w:bookmarkEnd w:id="460"/>
    </w:p>
    <w:p w14:paraId="082661A1">
      <w:pPr>
        <w:spacing w:line="360" w:lineRule="auto"/>
        <w:ind w:firstLine="480" w:firstLineChars="200"/>
        <w:rPr>
          <w:rFonts w:hint="eastAsia" w:ascii="仿宋" w:hAnsi="仿宋" w:eastAsia="仿宋" w:cs="仿宋"/>
          <w:b w:val="0"/>
          <w:bCs/>
          <w:sz w:val="24"/>
          <w:szCs w:val="24"/>
          <w:highlight w:val="none"/>
        </w:rPr>
      </w:pPr>
      <w:bookmarkStart w:id="461" w:name="_Toc281994210"/>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.1.1 需求分析</w:t>
      </w:r>
      <w:bookmarkEnd w:id="461"/>
    </w:p>
    <w:p w14:paraId="437C093F">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调查必须深入到招标人的业务和管理工作中，做到调查结果符合实际需求。所有需求分析过程及其文档均需提交用户确认并归档。</w:t>
      </w:r>
    </w:p>
    <w:p w14:paraId="087B92BA">
      <w:pPr>
        <w:spacing w:line="360" w:lineRule="auto"/>
        <w:ind w:firstLine="480" w:firstLineChars="200"/>
        <w:rPr>
          <w:rFonts w:hint="eastAsia" w:ascii="仿宋" w:hAnsi="仿宋" w:eastAsia="仿宋" w:cs="仿宋"/>
          <w:b w:val="0"/>
          <w:bCs/>
          <w:sz w:val="24"/>
          <w:szCs w:val="24"/>
          <w:highlight w:val="none"/>
        </w:rPr>
      </w:pPr>
      <w:bookmarkStart w:id="462" w:name="_Toc281994211"/>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.1.2 需求调查的内容</w:t>
      </w:r>
      <w:bookmarkEnd w:id="462"/>
    </w:p>
    <w:p w14:paraId="07B89F13">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完成系统功能模块中所应进行的调查。</w:t>
      </w:r>
    </w:p>
    <w:p w14:paraId="50BB438A">
      <w:pPr>
        <w:spacing w:line="360" w:lineRule="auto"/>
        <w:ind w:firstLine="480" w:firstLineChars="200"/>
        <w:rPr>
          <w:rFonts w:hint="eastAsia" w:ascii="仿宋" w:hAnsi="仿宋" w:eastAsia="仿宋" w:cs="仿宋"/>
          <w:b w:val="0"/>
          <w:bCs/>
          <w:sz w:val="24"/>
          <w:szCs w:val="24"/>
          <w:highlight w:val="none"/>
        </w:rPr>
      </w:pPr>
      <w:bookmarkStart w:id="463" w:name="_Toc281994212"/>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.1.3、需求分析报告</w:t>
      </w:r>
      <w:bookmarkEnd w:id="463"/>
    </w:p>
    <w:p w14:paraId="3B1AE258">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（1）需求分析报告是需求分析阶段提交给用户的阶段文档，用户据此评审开发商的需求分析成果；</w:t>
      </w:r>
    </w:p>
    <w:p w14:paraId="116A2250">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（2）需求分析报告必须经过用户评审通过后，方可作为下一阶段的实施依据。</w:t>
      </w:r>
    </w:p>
    <w:p w14:paraId="2FB31075">
      <w:pPr>
        <w:spacing w:line="360" w:lineRule="auto"/>
        <w:ind w:firstLine="480" w:firstLineChars="200"/>
        <w:rPr>
          <w:rFonts w:hint="eastAsia" w:ascii="仿宋" w:hAnsi="仿宋" w:eastAsia="仿宋" w:cs="仿宋"/>
          <w:b w:val="0"/>
          <w:bCs/>
          <w:sz w:val="24"/>
          <w:szCs w:val="24"/>
          <w:highlight w:val="none"/>
        </w:rPr>
      </w:pPr>
      <w:bookmarkStart w:id="464" w:name="_Toc18624409"/>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.2实施要求</w:t>
      </w:r>
      <w:bookmarkEnd w:id="464"/>
    </w:p>
    <w:p w14:paraId="038B3798">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2.1、中标人需组建一支由资深项目经理带领的业务经验丰富的项目实施团队，需提供团队每位成员简历及参与相关项目开发情况，并承诺团队成员的稳定性。需要签署实施人员稳定性协议，中标人需要明确对本项目配备人员的资质标准，并且提供参与项目实施的人员情况介绍及人员不变动的保证；在项目启动后，随意更换项目管理人员和实施人员将视为违约的情况。</w:t>
      </w:r>
    </w:p>
    <w:p w14:paraId="0EE06297">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.2.2、中标人必须在实施前制定明确、切实可行的系统实施计划，实施计划应包括：人员安排、进度安排、详细的工作安排；根据进度要求提供详细的项目进度计划表。</w:t>
      </w:r>
    </w:p>
    <w:p w14:paraId="51330050">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.2.3、中标人必须向招标人提供免费培训，培训方式应包括理论培训和现场培训，并制定切实可行的培训计划。</w:t>
      </w:r>
    </w:p>
    <w:p w14:paraId="2C9FE584">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2.4、本次项目为项目化开发，中标人应详细说明项目开发的流程及管理措施，项目结束后应提交项目文档。项目文档包括不限于项目计划、需求分析说明书、概要设计说明书和详细设计说明书、测试报告、用户手册、管理手册、培训教材等。</w:t>
      </w:r>
    </w:p>
    <w:p w14:paraId="0D34B460">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.2.5、中标人负责进行系统的现场安装、调试，并提供系统安装调试的一切技术支持。</w:t>
      </w:r>
    </w:p>
    <w:p w14:paraId="39F87BED">
      <w:pPr>
        <w:spacing w:line="360" w:lineRule="auto"/>
        <w:ind w:firstLine="480" w:firstLineChars="200"/>
        <w:rPr>
          <w:rFonts w:hint="eastAsia" w:ascii="仿宋" w:hAnsi="仿宋" w:eastAsia="仿宋" w:cs="仿宋"/>
          <w:b w:val="0"/>
          <w:bCs/>
          <w:sz w:val="24"/>
          <w:szCs w:val="24"/>
          <w:highlight w:val="none"/>
        </w:rPr>
      </w:pPr>
      <w:bookmarkStart w:id="465" w:name="_Toc18624410"/>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.3文档要求</w:t>
      </w:r>
      <w:bookmarkEnd w:id="465"/>
    </w:p>
    <w:p w14:paraId="0CB6FDA8">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中标人必须向业主方提供完整的软件安装、操作、使用、测试、控制和维护手册，能够满足对业主方信息化团队、后续售后运维团队、用户等不同角色的知识转移的要求，包括但不仅限于以下内容：《用户调查与需求分析报告》、《系统概要设计方案》、《功能规格说明书》、《系统详细设计说明书》、《系统维护手册》、《用户操作手册》、《测试用例》、《测试报告》等。</w:t>
      </w:r>
    </w:p>
    <w:p w14:paraId="632DBF3D">
      <w:pPr>
        <w:spacing w:line="360" w:lineRule="auto"/>
        <w:ind w:firstLine="480" w:firstLineChars="200"/>
        <w:rPr>
          <w:rFonts w:hint="eastAsia" w:ascii="仿宋" w:hAnsi="仿宋" w:eastAsia="仿宋" w:cs="仿宋"/>
          <w:b w:val="0"/>
          <w:bCs/>
          <w:sz w:val="24"/>
          <w:szCs w:val="24"/>
          <w:highlight w:val="none"/>
        </w:rPr>
      </w:pPr>
      <w:bookmarkStart w:id="466" w:name="_Toc18624411"/>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.4所供软件要求</w:t>
      </w:r>
      <w:bookmarkEnd w:id="466"/>
    </w:p>
    <w:p w14:paraId="6D0E839D">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本项目中标方提供的所有软件，要保证是合法的商品软件，其中第三方系统软件，要保证是永久、合法可用的。</w:t>
      </w:r>
    </w:p>
    <w:p w14:paraId="60DC12EC">
      <w:pPr>
        <w:widowControl/>
        <w:tabs>
          <w:tab w:val="left" w:pos="360"/>
        </w:tabs>
        <w:spacing w:line="360" w:lineRule="auto"/>
        <w:ind w:firstLine="480" w:firstLineChars="200"/>
        <w:outlineLvl w:val="9"/>
        <w:rPr>
          <w:rFonts w:hint="eastAsia" w:ascii="仿宋" w:hAnsi="仿宋" w:eastAsia="仿宋" w:cs="仿宋"/>
          <w:b w:val="0"/>
          <w:bCs/>
          <w:sz w:val="24"/>
          <w:szCs w:val="24"/>
          <w:highlight w:val="none"/>
        </w:rPr>
      </w:pPr>
      <w:r>
        <w:rPr>
          <w:rFonts w:hint="eastAsia" w:ascii="仿宋" w:hAnsi="仿宋" w:eastAsia="仿宋" w:cs="仿宋"/>
          <w:b w:val="0"/>
          <w:bCs/>
          <w:kern w:val="0"/>
          <w:sz w:val="24"/>
          <w:szCs w:val="24"/>
          <w:highlight w:val="none"/>
          <w:lang w:eastAsia="zh-CN"/>
        </w:rPr>
        <w:t>供应商</w:t>
      </w:r>
      <w:r>
        <w:rPr>
          <w:rFonts w:hint="eastAsia" w:ascii="仿宋" w:hAnsi="仿宋" w:eastAsia="仿宋" w:cs="仿宋"/>
          <w:b w:val="0"/>
          <w:bCs/>
          <w:kern w:val="0"/>
          <w:sz w:val="24"/>
          <w:szCs w:val="24"/>
          <w:highlight w:val="none"/>
        </w:rPr>
        <w:t>所投中间件产品要求不得使用第三方开源中间件；使用的中间件必须通过J2ee 5.0认证，并且具有跨平台的功能，能支持Windows，Linux，Unix操作系统应用；</w:t>
      </w:r>
      <w:r>
        <w:rPr>
          <w:rFonts w:hint="eastAsia" w:ascii="仿宋" w:hAnsi="仿宋" w:eastAsia="仿宋" w:cs="仿宋"/>
          <w:b w:val="0"/>
          <w:bCs/>
          <w:sz w:val="24"/>
          <w:szCs w:val="24"/>
          <w:highlight w:val="none"/>
          <w:lang w:eastAsia="zh-CN"/>
        </w:rPr>
        <w:t>供应商</w:t>
      </w:r>
      <w:r>
        <w:rPr>
          <w:rFonts w:hint="eastAsia" w:ascii="仿宋" w:hAnsi="仿宋" w:eastAsia="仿宋" w:cs="仿宋"/>
          <w:b w:val="0"/>
          <w:bCs/>
          <w:sz w:val="24"/>
          <w:szCs w:val="24"/>
          <w:highlight w:val="none"/>
        </w:rPr>
        <w:t>须保证不得因中间件原因导致软件系统出现运行效率低下等问题，如出现这类问题，</w:t>
      </w:r>
      <w:r>
        <w:rPr>
          <w:rFonts w:hint="eastAsia" w:ascii="仿宋" w:hAnsi="仿宋" w:eastAsia="仿宋" w:cs="仿宋"/>
          <w:b w:val="0"/>
          <w:bCs/>
          <w:sz w:val="24"/>
          <w:szCs w:val="24"/>
          <w:highlight w:val="none"/>
          <w:lang w:eastAsia="zh-CN"/>
        </w:rPr>
        <w:t>供应商</w:t>
      </w:r>
      <w:r>
        <w:rPr>
          <w:rFonts w:hint="eastAsia" w:ascii="仿宋" w:hAnsi="仿宋" w:eastAsia="仿宋" w:cs="仿宋"/>
          <w:b w:val="0"/>
          <w:bCs/>
          <w:sz w:val="24"/>
          <w:szCs w:val="24"/>
          <w:highlight w:val="none"/>
        </w:rPr>
        <w:t>应无条件对系统进行整改，对于由此导致的损失，招标人保留索赔权利。</w:t>
      </w:r>
    </w:p>
    <w:p w14:paraId="19F5DE48">
      <w:pPr>
        <w:spacing w:line="360" w:lineRule="auto"/>
        <w:ind w:firstLine="480" w:firstLineChars="200"/>
        <w:outlineLvl w:val="9"/>
        <w:rPr>
          <w:rFonts w:hint="eastAsia" w:ascii="仿宋" w:hAnsi="仿宋" w:eastAsia="仿宋" w:cs="仿宋"/>
          <w:b w:val="0"/>
          <w:bCs/>
          <w:highlight w:val="none"/>
        </w:rPr>
      </w:pPr>
      <w:r>
        <w:rPr>
          <w:rFonts w:hint="eastAsia" w:ascii="仿宋" w:hAnsi="仿宋" w:eastAsia="仿宋" w:cs="仿宋"/>
          <w:b w:val="0"/>
          <w:bCs/>
          <w:sz w:val="24"/>
          <w:szCs w:val="24"/>
          <w:highlight w:val="none"/>
        </w:rPr>
        <w:t>系统项目软件如有变更，由双方共同协商并签字确认后形成书面材料，按商定意见执行。其他未尽事宜由两方另行协商，并以经两方协商后形成的有关协议为准。</w:t>
      </w:r>
    </w:p>
    <w:p w14:paraId="085D2C54">
      <w:pPr>
        <w:keepNext w:val="0"/>
        <w:keepLines w:val="0"/>
        <w:adjustRightInd/>
        <w:snapToGrid/>
        <w:spacing w:before="0" w:after="0" w:line="360" w:lineRule="auto"/>
        <w:ind w:firstLine="0" w:firstLineChars="0"/>
        <w:jc w:val="center"/>
        <w:outlineLvl w:val="9"/>
        <w:rPr>
          <w:rFonts w:hint="eastAsia" w:ascii="仿宋" w:hAnsi="仿宋" w:eastAsia="仿宋" w:cs="仿宋"/>
          <w:b/>
          <w:bCs w:val="0"/>
          <w:szCs w:val="24"/>
          <w:highlight w:val="none"/>
        </w:rPr>
      </w:pPr>
      <w:bookmarkStart w:id="467" w:name="_Toc18624412"/>
      <w:bookmarkStart w:id="468" w:name="_Toc8946"/>
      <w:bookmarkStart w:id="469" w:name="_Toc513492494"/>
      <w:bookmarkStart w:id="470" w:name="_Toc28421"/>
      <w:r>
        <w:rPr>
          <w:rFonts w:hint="eastAsia" w:ascii="仿宋" w:hAnsi="仿宋" w:eastAsia="仿宋" w:cs="仿宋"/>
          <w:b/>
          <w:bCs w:val="0"/>
          <w:szCs w:val="24"/>
          <w:highlight w:val="none"/>
          <w:lang w:val="en-US" w:eastAsia="zh-CN"/>
        </w:rPr>
        <w:t>四</w:t>
      </w:r>
      <w:r>
        <w:rPr>
          <w:rFonts w:hint="eastAsia" w:ascii="仿宋" w:hAnsi="仿宋" w:eastAsia="仿宋" w:cs="仿宋"/>
          <w:b/>
          <w:bCs w:val="0"/>
          <w:szCs w:val="24"/>
          <w:highlight w:val="none"/>
        </w:rPr>
        <w:t>、商务要求</w:t>
      </w:r>
      <w:bookmarkEnd w:id="467"/>
      <w:bookmarkEnd w:id="468"/>
      <w:bookmarkEnd w:id="469"/>
      <w:bookmarkEnd w:id="470"/>
    </w:p>
    <w:p w14:paraId="38EFD55C">
      <w:pPr>
        <w:keepNext w:val="0"/>
        <w:keepLines w:val="0"/>
        <w:adjustRightInd/>
        <w:snapToGrid/>
        <w:spacing w:before="0" w:after="0" w:line="360" w:lineRule="auto"/>
        <w:ind w:firstLine="480"/>
        <w:outlineLvl w:val="9"/>
        <w:rPr>
          <w:rFonts w:hint="eastAsia" w:ascii="仿宋" w:hAnsi="仿宋" w:eastAsia="仿宋" w:cs="仿宋"/>
          <w:bCs/>
          <w:szCs w:val="24"/>
          <w:highlight w:val="none"/>
        </w:rPr>
      </w:pPr>
      <w:bookmarkStart w:id="471" w:name="_Toc18624413"/>
      <w:bookmarkStart w:id="472" w:name="_Toc22420"/>
      <w:bookmarkStart w:id="473" w:name="_Toc3058"/>
      <w:bookmarkStart w:id="474" w:name="_Toc2569"/>
      <w:bookmarkStart w:id="475" w:name="_Toc17936"/>
      <w:bookmarkStart w:id="476" w:name="_Toc14361"/>
      <w:bookmarkStart w:id="477" w:name="_Toc22086"/>
      <w:r>
        <w:rPr>
          <w:rFonts w:hint="eastAsia" w:ascii="仿宋" w:hAnsi="仿宋" w:eastAsia="仿宋" w:cs="仿宋"/>
          <w:bCs/>
          <w:szCs w:val="24"/>
          <w:highlight w:val="none"/>
          <w:lang w:val="en-US" w:eastAsia="zh-CN"/>
        </w:rPr>
        <w:t>4</w:t>
      </w:r>
      <w:r>
        <w:rPr>
          <w:rFonts w:hint="eastAsia" w:ascii="仿宋" w:hAnsi="仿宋" w:eastAsia="仿宋" w:cs="仿宋"/>
          <w:bCs/>
          <w:szCs w:val="24"/>
          <w:highlight w:val="none"/>
        </w:rPr>
        <w:t>.1.安装调试要求</w:t>
      </w:r>
      <w:bookmarkEnd w:id="471"/>
      <w:r>
        <w:rPr>
          <w:rFonts w:hint="eastAsia" w:ascii="仿宋" w:hAnsi="仿宋" w:eastAsia="仿宋" w:cs="仿宋"/>
          <w:bCs/>
          <w:szCs w:val="24"/>
          <w:highlight w:val="none"/>
          <w:lang w:eastAsia="zh-CN"/>
        </w:rPr>
        <w:t>。</w:t>
      </w:r>
      <w:r>
        <w:rPr>
          <w:rFonts w:hint="eastAsia" w:ascii="仿宋" w:hAnsi="仿宋" w:eastAsia="仿宋" w:cs="仿宋"/>
          <w:bCs/>
          <w:szCs w:val="24"/>
          <w:highlight w:val="none"/>
        </w:rPr>
        <w:t>软件的安装调试等项工作由中标人负责，但必须在招标人或其指定人员的参与下进行。中标人实施前必须先经招标人或用户同意方可进行。</w:t>
      </w:r>
      <w:bookmarkEnd w:id="472"/>
      <w:bookmarkEnd w:id="473"/>
      <w:bookmarkEnd w:id="474"/>
      <w:bookmarkEnd w:id="475"/>
      <w:bookmarkEnd w:id="476"/>
      <w:bookmarkEnd w:id="477"/>
    </w:p>
    <w:p w14:paraId="463941EF">
      <w:pPr>
        <w:keepNext w:val="0"/>
        <w:keepLines w:val="0"/>
        <w:adjustRightInd/>
        <w:snapToGrid/>
        <w:spacing w:before="0" w:after="0" w:line="360" w:lineRule="auto"/>
        <w:ind w:firstLine="480"/>
        <w:outlineLvl w:val="9"/>
        <w:rPr>
          <w:rFonts w:hint="eastAsia" w:ascii="仿宋" w:hAnsi="仿宋" w:eastAsia="仿宋" w:cs="仿宋"/>
          <w:bCs/>
          <w:szCs w:val="24"/>
          <w:highlight w:val="none"/>
        </w:rPr>
      </w:pPr>
      <w:bookmarkStart w:id="478" w:name="_Toc18624414"/>
      <w:bookmarkStart w:id="479" w:name="_Toc26911"/>
      <w:bookmarkStart w:id="480" w:name="_Toc12577"/>
      <w:bookmarkStart w:id="481" w:name="_Toc15767"/>
      <w:bookmarkStart w:id="482" w:name="_Toc32479"/>
      <w:bookmarkStart w:id="483" w:name="_Toc7342"/>
      <w:bookmarkStart w:id="484" w:name="_Toc7815"/>
      <w:r>
        <w:rPr>
          <w:rFonts w:hint="eastAsia" w:ascii="仿宋" w:hAnsi="仿宋" w:eastAsia="仿宋" w:cs="仿宋"/>
          <w:bCs/>
          <w:szCs w:val="24"/>
          <w:highlight w:val="none"/>
          <w:lang w:val="en-US" w:eastAsia="zh-CN"/>
        </w:rPr>
        <w:t>4</w:t>
      </w:r>
      <w:r>
        <w:rPr>
          <w:rFonts w:hint="eastAsia" w:ascii="仿宋" w:hAnsi="仿宋" w:eastAsia="仿宋" w:cs="仿宋"/>
          <w:bCs/>
          <w:szCs w:val="24"/>
          <w:highlight w:val="none"/>
        </w:rPr>
        <w:t>.2.验收要求</w:t>
      </w:r>
      <w:bookmarkEnd w:id="478"/>
      <w:r>
        <w:rPr>
          <w:rFonts w:hint="eastAsia" w:ascii="仿宋" w:hAnsi="仿宋" w:eastAsia="仿宋" w:cs="仿宋"/>
          <w:bCs/>
          <w:szCs w:val="24"/>
          <w:highlight w:val="none"/>
          <w:lang w:eastAsia="zh-CN"/>
        </w:rPr>
        <w:t>。</w:t>
      </w:r>
      <w:r>
        <w:rPr>
          <w:rFonts w:hint="eastAsia" w:ascii="仿宋" w:hAnsi="仿宋" w:eastAsia="仿宋" w:cs="仿宋"/>
          <w:bCs/>
          <w:szCs w:val="24"/>
          <w:highlight w:val="none"/>
        </w:rPr>
        <w:t>中标方需要配合业主进行系统的整体验收，完成本项目的验收和交付，并提交因本项目产生的技术文档及其他相关全部资料等。中标方需要根据本项目建设需求和系统设计方案，提供详细的系统验收手册和验收流程、验收通过标准，经业主方认可后，由双方共同组织人员进行系统验收。主要是针对业务系统软件功能、操作规范、安全体系等内容进行验收，要求系统必须充分完全的实现项目的建设要求，并在具体功能实现上完全符合系统的设计文档要求、操作规范符合用户的操作习惯、系统安全符合国家标准，能够充分保证数据安全、网络安全和应用安全。</w:t>
      </w:r>
      <w:bookmarkEnd w:id="479"/>
      <w:bookmarkEnd w:id="480"/>
      <w:bookmarkEnd w:id="481"/>
      <w:bookmarkEnd w:id="482"/>
      <w:bookmarkEnd w:id="483"/>
      <w:bookmarkEnd w:id="484"/>
    </w:p>
    <w:p w14:paraId="1A7F40C4">
      <w:pPr>
        <w:keepNext w:val="0"/>
        <w:keepLines w:val="0"/>
        <w:adjustRightInd/>
        <w:snapToGrid/>
        <w:spacing w:before="0" w:after="0" w:line="360" w:lineRule="auto"/>
        <w:ind w:firstLine="480"/>
        <w:outlineLvl w:val="9"/>
        <w:rPr>
          <w:rFonts w:hint="eastAsia" w:ascii="仿宋" w:hAnsi="仿宋" w:eastAsia="仿宋" w:cs="仿宋"/>
          <w:bCs/>
          <w:szCs w:val="24"/>
          <w:highlight w:val="none"/>
        </w:rPr>
      </w:pPr>
      <w:bookmarkStart w:id="485" w:name="_Toc29729"/>
      <w:bookmarkStart w:id="486" w:name="_Toc13617"/>
      <w:bookmarkStart w:id="487" w:name="_Toc26460"/>
      <w:bookmarkStart w:id="488" w:name="_Toc11368"/>
      <w:bookmarkStart w:id="489" w:name="_Toc5076"/>
      <w:bookmarkStart w:id="490" w:name="_Toc26829"/>
      <w:r>
        <w:rPr>
          <w:rFonts w:hint="eastAsia" w:ascii="仿宋" w:hAnsi="仿宋" w:eastAsia="仿宋" w:cs="仿宋"/>
          <w:bCs/>
          <w:szCs w:val="24"/>
          <w:highlight w:val="none"/>
        </w:rPr>
        <w:t>（1）初验</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rPr>
        <w:t>中标方按照业主方要求将</w:t>
      </w:r>
      <w:r>
        <w:rPr>
          <w:rFonts w:hint="eastAsia" w:ascii="仿宋" w:hAnsi="仿宋" w:eastAsia="仿宋" w:cs="仿宋"/>
          <w:bCs/>
          <w:szCs w:val="24"/>
          <w:highlight w:val="none"/>
          <w:lang w:eastAsia="zh-CN"/>
        </w:rPr>
        <w:t>集团财务系统</w:t>
      </w:r>
      <w:r>
        <w:rPr>
          <w:rFonts w:hint="eastAsia" w:ascii="仿宋" w:hAnsi="仿宋" w:eastAsia="仿宋" w:cs="仿宋"/>
          <w:bCs/>
          <w:szCs w:val="24"/>
          <w:highlight w:val="none"/>
        </w:rPr>
        <w:t>开发并实施完成后，应向业主方提出书面初验申请，业主方在收到申请后五（5）个工作日，按照本文件要求对</w:t>
      </w:r>
      <w:r>
        <w:rPr>
          <w:rFonts w:hint="eastAsia" w:ascii="仿宋" w:hAnsi="仿宋" w:eastAsia="仿宋" w:cs="仿宋"/>
          <w:bCs/>
          <w:szCs w:val="24"/>
          <w:highlight w:val="none"/>
          <w:lang w:eastAsia="zh-CN"/>
        </w:rPr>
        <w:t>集团财务系统</w:t>
      </w:r>
      <w:r>
        <w:rPr>
          <w:rFonts w:hint="eastAsia" w:ascii="仿宋" w:hAnsi="仿宋" w:eastAsia="仿宋" w:cs="仿宋"/>
          <w:bCs/>
          <w:szCs w:val="24"/>
          <w:highlight w:val="none"/>
        </w:rPr>
        <w:t>进行初验，中标方须提供必要的配合。</w:t>
      </w:r>
      <w:bookmarkEnd w:id="485"/>
      <w:bookmarkEnd w:id="486"/>
      <w:bookmarkEnd w:id="487"/>
      <w:bookmarkEnd w:id="488"/>
      <w:bookmarkEnd w:id="489"/>
      <w:bookmarkEnd w:id="490"/>
    </w:p>
    <w:p w14:paraId="382DAFEB">
      <w:pPr>
        <w:snapToGrid/>
        <w:spacing w:line="360" w:lineRule="auto"/>
        <w:ind w:firstLine="480"/>
        <w:rPr>
          <w:rFonts w:hint="eastAsia" w:ascii="仿宋" w:hAnsi="仿宋" w:eastAsia="仿宋" w:cs="仿宋"/>
          <w:bCs/>
          <w:szCs w:val="24"/>
          <w:highlight w:val="none"/>
        </w:rPr>
      </w:pPr>
      <w:r>
        <w:rPr>
          <w:rFonts w:hint="eastAsia" w:ascii="仿宋" w:hAnsi="仿宋" w:eastAsia="仿宋" w:cs="仿宋"/>
          <w:bCs/>
          <w:szCs w:val="24"/>
          <w:highlight w:val="none"/>
        </w:rPr>
        <w:t>（2）移交</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rPr>
        <w:t>中标方在初验合格后的一个月内，按要求向业主方进行全部完整、准确的技术文档的移交。由于移交文档不完整、不准确造成的业主方的损失由中标方承担。</w:t>
      </w:r>
    </w:p>
    <w:p w14:paraId="04424761">
      <w:pPr>
        <w:snapToGrid/>
        <w:spacing w:line="360" w:lineRule="auto"/>
        <w:ind w:firstLine="480"/>
        <w:rPr>
          <w:rFonts w:hint="eastAsia" w:ascii="仿宋" w:hAnsi="仿宋" w:eastAsia="仿宋" w:cs="仿宋"/>
          <w:bCs/>
          <w:szCs w:val="24"/>
          <w:highlight w:val="none"/>
        </w:rPr>
      </w:pPr>
      <w:r>
        <w:rPr>
          <w:rFonts w:hint="eastAsia" w:ascii="仿宋" w:hAnsi="仿宋" w:eastAsia="仿宋" w:cs="仿宋"/>
          <w:bCs/>
          <w:szCs w:val="24"/>
          <w:highlight w:val="none"/>
        </w:rPr>
        <w:t>（3）试运行</w:t>
      </w:r>
      <w:r>
        <w:rPr>
          <w:rFonts w:hint="eastAsia" w:ascii="仿宋" w:hAnsi="仿宋" w:eastAsia="仿宋" w:cs="仿宋"/>
          <w:bCs/>
          <w:szCs w:val="24"/>
          <w:highlight w:val="none"/>
          <w:lang w:eastAsia="zh-CN"/>
        </w:rPr>
        <w:t>。集团财务系统</w:t>
      </w:r>
      <w:r>
        <w:rPr>
          <w:rFonts w:hint="eastAsia" w:ascii="仿宋" w:hAnsi="仿宋" w:eastAsia="仿宋" w:cs="仿宋"/>
          <w:bCs/>
          <w:szCs w:val="24"/>
          <w:highlight w:val="none"/>
        </w:rPr>
        <w:t>初验合格后进入试运行期。试运行应表明</w:t>
      </w:r>
      <w:r>
        <w:rPr>
          <w:rFonts w:hint="eastAsia" w:ascii="仿宋" w:hAnsi="仿宋" w:eastAsia="仿宋" w:cs="仿宋"/>
          <w:bCs/>
          <w:szCs w:val="24"/>
          <w:highlight w:val="none"/>
          <w:lang w:eastAsia="zh-CN"/>
        </w:rPr>
        <w:t>集团财务系统</w:t>
      </w:r>
      <w:r>
        <w:rPr>
          <w:rFonts w:hint="eastAsia" w:ascii="仿宋" w:hAnsi="仿宋" w:eastAsia="仿宋" w:cs="仿宋"/>
          <w:bCs/>
          <w:szCs w:val="24"/>
          <w:highlight w:val="none"/>
        </w:rPr>
        <w:t>的功能和性能符合实施方在本文件中提到的系统试运行的目标和任务。如果在试运行期间发现任何因中标方原因造成的与本文件规定的不符点，中标方有责任对其进行修改和更正直到达到本文件中的要求，同时试运行期依据上述修改、更正期间进行相应顺延。由此产生的所有费用由中标方承担。</w:t>
      </w:r>
    </w:p>
    <w:p w14:paraId="770C7A26">
      <w:pPr>
        <w:snapToGrid/>
        <w:spacing w:line="360" w:lineRule="auto"/>
        <w:ind w:firstLine="480"/>
        <w:rPr>
          <w:rFonts w:hint="eastAsia" w:ascii="仿宋" w:hAnsi="仿宋" w:eastAsia="仿宋" w:cs="仿宋"/>
          <w:bCs/>
          <w:szCs w:val="24"/>
          <w:highlight w:val="none"/>
        </w:rPr>
      </w:pPr>
      <w:r>
        <w:rPr>
          <w:rFonts w:hint="eastAsia" w:ascii="仿宋" w:hAnsi="仿宋" w:eastAsia="仿宋" w:cs="仿宋"/>
          <w:bCs/>
          <w:szCs w:val="24"/>
          <w:highlight w:val="none"/>
        </w:rPr>
        <w:t>（4）终验</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rPr>
        <w:t>终验在试运行期届满后[10]个工作日内由业主方指派代表进行。如果经终验测试</w:t>
      </w:r>
      <w:r>
        <w:rPr>
          <w:rFonts w:hint="eastAsia" w:ascii="仿宋" w:hAnsi="仿宋" w:eastAsia="仿宋" w:cs="仿宋"/>
          <w:bCs/>
          <w:szCs w:val="24"/>
          <w:highlight w:val="none"/>
          <w:lang w:eastAsia="zh-CN"/>
        </w:rPr>
        <w:t>集团财务系统</w:t>
      </w:r>
      <w:r>
        <w:rPr>
          <w:rFonts w:hint="eastAsia" w:ascii="仿宋" w:hAnsi="仿宋" w:eastAsia="仿宋" w:cs="仿宋"/>
          <w:bCs/>
          <w:szCs w:val="24"/>
          <w:highlight w:val="none"/>
        </w:rPr>
        <w:t>的所有功能和性能指标均与本文件的规定相符，由业主方认可通过后，业主方与中标方将共同签署两份终验合格证书，其中一份由中标方保存，一份由业主方保存。终验不合格，由中标方负责更正和修改，由此产生的费用由中标方承担。</w:t>
      </w:r>
    </w:p>
    <w:p w14:paraId="34B70009">
      <w:pPr>
        <w:keepNext w:val="0"/>
        <w:keepLines w:val="0"/>
        <w:adjustRightInd/>
        <w:snapToGrid/>
        <w:spacing w:before="0" w:after="0" w:line="360" w:lineRule="auto"/>
        <w:ind w:firstLine="480"/>
        <w:outlineLvl w:val="9"/>
        <w:rPr>
          <w:rFonts w:hint="eastAsia" w:ascii="仿宋" w:hAnsi="仿宋" w:eastAsia="仿宋" w:cs="仿宋"/>
          <w:bCs/>
          <w:szCs w:val="24"/>
          <w:highlight w:val="none"/>
        </w:rPr>
      </w:pPr>
      <w:bookmarkStart w:id="491" w:name="_Toc25037"/>
      <w:bookmarkStart w:id="492" w:name="_Toc5773"/>
      <w:bookmarkStart w:id="493" w:name="_Toc21631"/>
      <w:bookmarkStart w:id="494" w:name="_Toc24622"/>
      <w:bookmarkStart w:id="495" w:name="_Toc21400"/>
      <w:bookmarkStart w:id="496" w:name="_Toc1060"/>
      <w:bookmarkStart w:id="497" w:name="_Toc18624415"/>
      <w:r>
        <w:rPr>
          <w:rFonts w:hint="eastAsia" w:ascii="仿宋" w:hAnsi="仿宋" w:eastAsia="仿宋" w:cs="仿宋"/>
          <w:bCs/>
          <w:szCs w:val="24"/>
          <w:highlight w:val="none"/>
          <w:lang w:val="en-US" w:eastAsia="zh-CN"/>
        </w:rPr>
        <w:t>4</w:t>
      </w:r>
      <w:r>
        <w:rPr>
          <w:rFonts w:hint="eastAsia" w:ascii="仿宋" w:hAnsi="仿宋" w:eastAsia="仿宋" w:cs="仿宋"/>
          <w:bCs/>
          <w:szCs w:val="24"/>
          <w:highlight w:val="none"/>
        </w:rPr>
        <w:t>.3.售后服务要求</w:t>
      </w:r>
      <w:bookmarkEnd w:id="491"/>
      <w:bookmarkEnd w:id="492"/>
      <w:bookmarkEnd w:id="493"/>
      <w:bookmarkEnd w:id="494"/>
      <w:bookmarkEnd w:id="495"/>
      <w:bookmarkEnd w:id="496"/>
      <w:bookmarkEnd w:id="497"/>
    </w:p>
    <w:p w14:paraId="6B893966">
      <w:pPr>
        <w:keepNext w:val="0"/>
        <w:keepLines w:val="0"/>
        <w:adjustRightInd/>
        <w:snapToGrid/>
        <w:spacing w:before="0" w:after="0" w:line="360" w:lineRule="auto"/>
        <w:ind w:left="0" w:leftChars="0" w:firstLine="480" w:firstLineChars="200"/>
        <w:outlineLvl w:val="9"/>
        <w:rPr>
          <w:rFonts w:hint="eastAsia" w:ascii="仿宋" w:hAnsi="仿宋" w:eastAsia="仿宋" w:cs="仿宋"/>
          <w:bCs/>
          <w:szCs w:val="24"/>
          <w:highlight w:val="none"/>
        </w:rPr>
      </w:pPr>
      <w:bookmarkStart w:id="498" w:name="_Toc14523"/>
      <w:bookmarkStart w:id="499" w:name="_Toc20215"/>
      <w:bookmarkStart w:id="500" w:name="_Toc21340"/>
      <w:bookmarkStart w:id="501" w:name="_Toc28090"/>
      <w:r>
        <w:rPr>
          <w:rFonts w:hint="eastAsia" w:ascii="仿宋" w:hAnsi="仿宋" w:eastAsia="仿宋" w:cs="仿宋"/>
          <w:bCs/>
          <w:szCs w:val="24"/>
          <w:highlight w:val="none"/>
        </w:rPr>
        <w:t>（一）售后服务内容和范围</w:t>
      </w:r>
      <w:bookmarkEnd w:id="498"/>
      <w:bookmarkEnd w:id="499"/>
      <w:bookmarkEnd w:id="500"/>
      <w:bookmarkEnd w:id="501"/>
    </w:p>
    <w:p w14:paraId="0A6BFFFC">
      <w:pPr>
        <w:spacing w:line="360" w:lineRule="auto"/>
        <w:ind w:left="0" w:leftChars="0" w:firstLine="480" w:firstLineChars="200"/>
        <w:rPr>
          <w:rFonts w:hint="eastAsia" w:ascii="仿宋" w:hAnsi="仿宋" w:eastAsia="仿宋" w:cs="仿宋"/>
          <w:bCs/>
          <w:szCs w:val="24"/>
          <w:highlight w:val="none"/>
        </w:rPr>
      </w:pPr>
      <w:r>
        <w:rPr>
          <w:rFonts w:hint="eastAsia" w:ascii="仿宋" w:hAnsi="仿宋" w:eastAsia="仿宋" w:cs="仿宋"/>
          <w:bCs/>
          <w:szCs w:val="24"/>
          <w:highlight w:val="none"/>
        </w:rPr>
        <w:t>(1)维护内容含本系统的部署和维护；</w:t>
      </w:r>
    </w:p>
    <w:p w14:paraId="6C4818D2">
      <w:pPr>
        <w:spacing w:line="360" w:lineRule="auto"/>
        <w:ind w:left="0" w:leftChars="0" w:firstLine="480" w:firstLineChars="200"/>
        <w:rPr>
          <w:rFonts w:hint="eastAsia" w:ascii="仿宋" w:hAnsi="仿宋" w:eastAsia="仿宋" w:cs="仿宋"/>
          <w:bCs/>
          <w:szCs w:val="24"/>
          <w:highlight w:val="none"/>
        </w:rPr>
      </w:pPr>
      <w:r>
        <w:rPr>
          <w:rFonts w:hint="eastAsia" w:ascii="仿宋" w:hAnsi="仿宋" w:eastAsia="仿宋" w:cs="仿宋"/>
          <w:bCs/>
          <w:szCs w:val="24"/>
          <w:highlight w:val="none"/>
        </w:rPr>
        <w:t>(2)维护内容包括中标人为业主方开发的与本系统有关的所有相关软件；</w:t>
      </w:r>
    </w:p>
    <w:p w14:paraId="24ED2BEC">
      <w:pPr>
        <w:spacing w:line="360" w:lineRule="auto"/>
        <w:ind w:left="0" w:leftChars="0" w:firstLine="480" w:firstLineChars="200"/>
        <w:rPr>
          <w:rFonts w:hint="eastAsia" w:ascii="仿宋" w:hAnsi="仿宋" w:eastAsia="仿宋" w:cs="仿宋"/>
          <w:bCs/>
          <w:szCs w:val="24"/>
          <w:highlight w:val="none"/>
        </w:rPr>
      </w:pPr>
      <w:r>
        <w:rPr>
          <w:rFonts w:hint="eastAsia" w:ascii="仿宋" w:hAnsi="仿宋" w:eastAsia="仿宋" w:cs="仿宋"/>
          <w:bCs/>
          <w:szCs w:val="24"/>
          <w:highlight w:val="none"/>
        </w:rPr>
        <w:t>(3)维护内容包括本系统与其它第三方软件集成时所涉及的相关接口；</w:t>
      </w:r>
    </w:p>
    <w:p w14:paraId="39BACB7C">
      <w:pPr>
        <w:spacing w:line="360" w:lineRule="auto"/>
        <w:ind w:left="0" w:leftChars="0" w:firstLine="480" w:firstLineChars="200"/>
        <w:rPr>
          <w:rFonts w:hint="eastAsia" w:ascii="仿宋" w:hAnsi="仿宋" w:eastAsia="仿宋" w:cs="仿宋"/>
          <w:bCs/>
          <w:szCs w:val="24"/>
          <w:highlight w:val="none"/>
        </w:rPr>
      </w:pPr>
      <w:r>
        <w:rPr>
          <w:rFonts w:hint="eastAsia" w:ascii="仿宋" w:hAnsi="仿宋" w:eastAsia="仿宋" w:cs="仿宋"/>
          <w:bCs/>
          <w:szCs w:val="24"/>
          <w:highlight w:val="none"/>
        </w:rPr>
        <w:t>(4)维护内容包括业主方所要求的系统功能二次开发；</w:t>
      </w:r>
    </w:p>
    <w:p w14:paraId="4E1D2A37">
      <w:pPr>
        <w:spacing w:line="360" w:lineRule="auto"/>
        <w:ind w:left="0" w:leftChars="0" w:firstLine="480" w:firstLineChars="200"/>
        <w:rPr>
          <w:rFonts w:hint="eastAsia" w:ascii="仿宋" w:hAnsi="仿宋" w:eastAsia="仿宋" w:cs="仿宋"/>
          <w:bCs/>
          <w:szCs w:val="24"/>
          <w:highlight w:val="none"/>
        </w:rPr>
      </w:pPr>
      <w:r>
        <w:rPr>
          <w:rFonts w:hint="eastAsia" w:ascii="仿宋" w:hAnsi="仿宋" w:eastAsia="仿宋" w:cs="仿宋"/>
          <w:bCs/>
          <w:szCs w:val="24"/>
          <w:highlight w:val="none"/>
        </w:rPr>
        <w:t>(5)协助业主方维护与系统相关的硬件设备；</w:t>
      </w:r>
    </w:p>
    <w:p w14:paraId="4FE95579">
      <w:pPr>
        <w:spacing w:line="360" w:lineRule="auto"/>
        <w:ind w:left="0" w:leftChars="0" w:firstLine="480" w:firstLineChars="200"/>
        <w:rPr>
          <w:rFonts w:hint="eastAsia" w:ascii="仿宋" w:hAnsi="仿宋" w:eastAsia="仿宋" w:cs="仿宋"/>
          <w:bCs/>
          <w:szCs w:val="24"/>
          <w:highlight w:val="none"/>
        </w:rPr>
      </w:pPr>
      <w:r>
        <w:rPr>
          <w:rFonts w:hint="eastAsia" w:ascii="仿宋" w:hAnsi="仿宋" w:eastAsia="仿宋" w:cs="仿宋"/>
          <w:bCs/>
          <w:szCs w:val="24"/>
          <w:highlight w:val="none"/>
        </w:rPr>
        <w:t>(6)其它内容，包括本项目所涉及的其他相关软件产品。</w:t>
      </w:r>
    </w:p>
    <w:p w14:paraId="4580E676">
      <w:pPr>
        <w:keepNext w:val="0"/>
        <w:keepLines w:val="0"/>
        <w:adjustRightInd/>
        <w:snapToGrid/>
        <w:spacing w:before="0" w:after="0" w:line="360" w:lineRule="auto"/>
        <w:ind w:left="0" w:leftChars="0" w:firstLine="480" w:firstLineChars="200"/>
        <w:outlineLvl w:val="9"/>
        <w:rPr>
          <w:rFonts w:hint="eastAsia" w:ascii="仿宋" w:hAnsi="仿宋" w:eastAsia="仿宋" w:cs="仿宋"/>
          <w:bCs/>
          <w:szCs w:val="24"/>
          <w:highlight w:val="none"/>
        </w:rPr>
      </w:pPr>
      <w:bookmarkStart w:id="502" w:name="_Toc22417"/>
      <w:bookmarkStart w:id="503" w:name="_Toc8223"/>
      <w:bookmarkStart w:id="504" w:name="_Toc27294"/>
      <w:bookmarkStart w:id="505" w:name="_Toc28910"/>
      <w:r>
        <w:rPr>
          <w:rFonts w:hint="eastAsia" w:ascii="仿宋" w:hAnsi="仿宋" w:eastAsia="仿宋" w:cs="仿宋"/>
          <w:bCs/>
          <w:szCs w:val="24"/>
          <w:highlight w:val="none"/>
        </w:rPr>
        <w:t>（二）售后服务要求</w:t>
      </w:r>
      <w:bookmarkEnd w:id="502"/>
      <w:bookmarkEnd w:id="503"/>
      <w:bookmarkEnd w:id="504"/>
      <w:bookmarkEnd w:id="505"/>
    </w:p>
    <w:p w14:paraId="7D161F18">
      <w:pPr>
        <w:spacing w:line="360" w:lineRule="auto"/>
        <w:ind w:left="0" w:leftChars="0" w:firstLine="480" w:firstLineChars="200"/>
        <w:rPr>
          <w:rFonts w:hint="eastAsia" w:ascii="仿宋" w:hAnsi="仿宋" w:eastAsia="仿宋" w:cs="仿宋"/>
          <w:bCs/>
          <w:szCs w:val="24"/>
          <w:highlight w:val="none"/>
        </w:rPr>
      </w:pPr>
      <w:r>
        <w:rPr>
          <w:rFonts w:hint="eastAsia" w:ascii="仿宋" w:hAnsi="仿宋" w:eastAsia="仿宋" w:cs="仿宋"/>
          <w:bCs/>
          <w:szCs w:val="24"/>
          <w:highlight w:val="none"/>
        </w:rPr>
        <w:t>(1)在免费维护期内提供7*24 小时上门服务，确保半小时响应、</w:t>
      </w:r>
      <w:r>
        <w:rPr>
          <w:rFonts w:hint="eastAsia" w:ascii="仿宋" w:hAnsi="仿宋" w:eastAsia="仿宋" w:cs="仿宋"/>
          <w:bCs/>
          <w:szCs w:val="24"/>
          <w:highlight w:val="none"/>
          <w:lang w:val="en-US" w:eastAsia="zh-CN"/>
        </w:rPr>
        <w:t>4</w:t>
      </w:r>
      <w:r>
        <w:rPr>
          <w:rFonts w:hint="eastAsia" w:ascii="仿宋" w:hAnsi="仿宋" w:eastAsia="仿宋" w:cs="仿宋"/>
          <w:bCs/>
          <w:szCs w:val="24"/>
          <w:highlight w:val="none"/>
        </w:rPr>
        <w:t>小时到达现场、</w:t>
      </w:r>
      <w:r>
        <w:rPr>
          <w:rFonts w:hint="eastAsia" w:ascii="仿宋" w:hAnsi="仿宋" w:eastAsia="仿宋" w:cs="仿宋"/>
          <w:bCs/>
          <w:szCs w:val="24"/>
          <w:highlight w:val="none"/>
          <w:lang w:val="en-US" w:eastAsia="zh-CN"/>
        </w:rPr>
        <w:t>24</w:t>
      </w:r>
      <w:r>
        <w:rPr>
          <w:rFonts w:hint="eastAsia" w:ascii="仿宋" w:hAnsi="仿宋" w:eastAsia="仿宋" w:cs="仿宋"/>
          <w:bCs/>
          <w:szCs w:val="24"/>
          <w:highlight w:val="none"/>
        </w:rPr>
        <w:t>小时修复故障。</w:t>
      </w:r>
    </w:p>
    <w:p w14:paraId="54B3E0F1">
      <w:pPr>
        <w:spacing w:line="360" w:lineRule="auto"/>
        <w:ind w:left="0" w:leftChars="0" w:firstLine="480" w:firstLineChars="200"/>
        <w:rPr>
          <w:rFonts w:hint="eastAsia" w:ascii="仿宋" w:hAnsi="仿宋" w:eastAsia="仿宋" w:cs="仿宋"/>
          <w:bCs/>
          <w:szCs w:val="24"/>
          <w:highlight w:val="none"/>
        </w:rPr>
      </w:pPr>
      <w:r>
        <w:rPr>
          <w:rFonts w:hint="eastAsia" w:ascii="仿宋" w:hAnsi="仿宋" w:eastAsia="仿宋" w:cs="仿宋"/>
          <w:bCs/>
          <w:szCs w:val="24"/>
          <w:highlight w:val="none"/>
        </w:rPr>
        <w:t>(2)在免费维护期内，中标人提供免费维护服务。服务内容包括但不限于：使用指导，对系统进行必须的修订和微调，对系统隐含的错误进行纠正，新版本的升级；维护方式包括：电话解答，远程维护，必要时派技术人员到现场解决问题。</w:t>
      </w:r>
    </w:p>
    <w:p w14:paraId="13C955E5">
      <w:pPr>
        <w:spacing w:line="360" w:lineRule="auto"/>
        <w:ind w:left="0" w:leftChars="0" w:firstLine="480" w:firstLineChars="200"/>
        <w:rPr>
          <w:rFonts w:hint="eastAsia" w:ascii="仿宋" w:hAnsi="仿宋" w:eastAsia="仿宋" w:cs="仿宋"/>
          <w:bCs/>
          <w:szCs w:val="24"/>
          <w:highlight w:val="none"/>
        </w:rPr>
      </w:pPr>
      <w:r>
        <w:rPr>
          <w:rFonts w:hint="eastAsia" w:ascii="仿宋" w:hAnsi="仿宋" w:eastAsia="仿宋" w:cs="仿宋"/>
          <w:bCs/>
          <w:szCs w:val="24"/>
          <w:highlight w:val="none"/>
        </w:rPr>
        <w:t>(3)对于系统的设计缺陷承诺终身免费维护。</w:t>
      </w:r>
    </w:p>
    <w:p w14:paraId="2DF0EB97">
      <w:pPr>
        <w:spacing w:line="360" w:lineRule="auto"/>
        <w:ind w:left="0" w:leftChars="0" w:firstLine="480" w:firstLineChars="200"/>
        <w:rPr>
          <w:rFonts w:hint="eastAsia" w:ascii="仿宋" w:hAnsi="仿宋" w:eastAsia="仿宋" w:cs="仿宋"/>
          <w:bCs/>
          <w:szCs w:val="24"/>
          <w:highlight w:val="none"/>
        </w:rPr>
      </w:pPr>
      <w:r>
        <w:rPr>
          <w:rFonts w:hint="eastAsia" w:ascii="仿宋" w:hAnsi="仿宋" w:eastAsia="仿宋" w:cs="仿宋"/>
          <w:bCs/>
          <w:szCs w:val="24"/>
          <w:highlight w:val="none"/>
        </w:rPr>
        <w:t>(4)在免费维护期内，中标人对系统提供每年6次以上的巡检和维护保养。当招标人有重要活动时，中标人应当派人提供现场技术保障服务。</w:t>
      </w:r>
    </w:p>
    <w:p w14:paraId="0E8AB894">
      <w:pPr>
        <w:spacing w:line="360" w:lineRule="auto"/>
        <w:ind w:left="0" w:leftChars="0" w:firstLine="480" w:firstLineChars="200"/>
        <w:rPr>
          <w:rFonts w:hint="eastAsia" w:ascii="仿宋" w:hAnsi="仿宋" w:eastAsia="仿宋" w:cs="仿宋"/>
          <w:bCs/>
          <w:szCs w:val="24"/>
          <w:highlight w:val="none"/>
        </w:rPr>
      </w:pPr>
      <w:r>
        <w:rPr>
          <w:rFonts w:hint="eastAsia" w:ascii="仿宋" w:hAnsi="仿宋" w:eastAsia="仿宋" w:cs="仿宋"/>
          <w:bCs/>
          <w:szCs w:val="24"/>
          <w:highlight w:val="none"/>
        </w:rPr>
        <w:t>(5)在免费维护期内，中标人应提供至少1 名本地售后服务人员驻场服务。</w:t>
      </w:r>
    </w:p>
    <w:p w14:paraId="7AD7CC7F">
      <w:pPr>
        <w:spacing w:line="360" w:lineRule="auto"/>
        <w:ind w:left="0" w:leftChars="0" w:firstLine="480" w:firstLineChars="200"/>
        <w:rPr>
          <w:rFonts w:hint="eastAsia" w:ascii="仿宋" w:hAnsi="仿宋" w:eastAsia="仿宋" w:cs="仿宋"/>
          <w:bCs/>
          <w:szCs w:val="24"/>
          <w:highlight w:val="none"/>
        </w:rPr>
      </w:pPr>
      <w:r>
        <w:rPr>
          <w:rFonts w:hint="eastAsia" w:ascii="仿宋" w:hAnsi="仿宋" w:eastAsia="仿宋" w:cs="仿宋"/>
          <w:bCs/>
          <w:szCs w:val="24"/>
          <w:highlight w:val="none"/>
        </w:rPr>
        <w:t>(6)中标人在免费维护期满后应继续向招标人提供保证质量的售后服务，以维持系统正常运作。</w:t>
      </w:r>
    </w:p>
    <w:p w14:paraId="43CD0FF5">
      <w:pPr>
        <w:spacing w:line="360" w:lineRule="auto"/>
        <w:ind w:left="0" w:leftChars="0" w:firstLine="480" w:firstLineChars="200"/>
        <w:rPr>
          <w:rFonts w:hint="eastAsia" w:ascii="仿宋" w:hAnsi="仿宋" w:eastAsia="仿宋" w:cs="仿宋"/>
          <w:bCs/>
          <w:szCs w:val="24"/>
          <w:highlight w:val="none"/>
        </w:rPr>
      </w:pPr>
      <w:r>
        <w:rPr>
          <w:rFonts w:hint="eastAsia" w:ascii="仿宋" w:hAnsi="仿宋" w:eastAsia="仿宋" w:cs="仿宋"/>
          <w:bCs/>
          <w:szCs w:val="24"/>
          <w:highlight w:val="none"/>
        </w:rPr>
        <w:t>(7)中标人对系统软件服务时应不影响原有应用系统的正常运行和效率，不涉及对原有应用系统重新设计。对系统软件的更新及升级时，未经业主方同意，不得改变针对本项目定制的功能。</w:t>
      </w:r>
    </w:p>
    <w:p w14:paraId="2CEA1288">
      <w:pPr>
        <w:spacing w:line="360" w:lineRule="auto"/>
        <w:ind w:left="0" w:leftChars="0" w:firstLine="480" w:firstLineChars="200"/>
        <w:rPr>
          <w:rFonts w:hint="eastAsia" w:ascii="仿宋" w:hAnsi="仿宋" w:eastAsia="仿宋" w:cs="仿宋"/>
          <w:bCs/>
          <w:szCs w:val="24"/>
          <w:highlight w:val="none"/>
        </w:rPr>
      </w:pPr>
      <w:r>
        <w:rPr>
          <w:rFonts w:hint="eastAsia" w:ascii="仿宋" w:hAnsi="仿宋" w:eastAsia="仿宋" w:cs="仿宋"/>
          <w:bCs/>
          <w:szCs w:val="24"/>
          <w:highlight w:val="none"/>
        </w:rPr>
        <w:t>(8)应用系统提供的某些功能在本项目中有特殊的版本时，中标人在今后推出的所有新版本中必须支持该功能。中标人提供的新版本必须是向下兼容的，并无偿提供数据迁移服务，数据迁移必须保证数据的完整性、一致性。</w:t>
      </w:r>
    </w:p>
    <w:p w14:paraId="62791C09">
      <w:pPr>
        <w:spacing w:line="360" w:lineRule="auto"/>
        <w:ind w:firstLine="480"/>
        <w:rPr>
          <w:rFonts w:hint="eastAsia" w:ascii="仿宋" w:hAnsi="仿宋" w:eastAsia="仿宋" w:cs="仿宋"/>
          <w:bCs/>
          <w:szCs w:val="24"/>
          <w:highlight w:val="none"/>
        </w:rPr>
      </w:pPr>
      <w:r>
        <w:rPr>
          <w:rFonts w:hint="eastAsia" w:ascii="仿宋" w:hAnsi="仿宋" w:eastAsia="仿宋" w:cs="仿宋"/>
          <w:bCs/>
          <w:szCs w:val="24"/>
          <w:highlight w:val="none"/>
        </w:rPr>
        <w:t>(9)免费维护期结束后，如甲方在一定期限内停止向中标人购买维护服务，后又重新与中标人续签维护服务，中标人不得收取停止服务期间内的维护费用或递延服务费用。</w:t>
      </w:r>
    </w:p>
    <w:p w14:paraId="5B35768F">
      <w:pPr>
        <w:keepNext w:val="0"/>
        <w:keepLines w:val="0"/>
        <w:adjustRightInd/>
        <w:snapToGrid/>
        <w:spacing w:before="0" w:after="0" w:line="360" w:lineRule="auto"/>
        <w:ind w:firstLine="480"/>
        <w:outlineLvl w:val="9"/>
        <w:rPr>
          <w:rFonts w:hint="eastAsia" w:ascii="仿宋" w:hAnsi="仿宋" w:eastAsia="仿宋" w:cs="仿宋"/>
          <w:bCs/>
          <w:szCs w:val="24"/>
          <w:highlight w:val="none"/>
        </w:rPr>
      </w:pPr>
      <w:bookmarkStart w:id="506" w:name="_Toc29561"/>
      <w:bookmarkStart w:id="507" w:name="_Toc32348"/>
      <w:bookmarkStart w:id="508" w:name="_Toc18624416"/>
      <w:bookmarkStart w:id="509" w:name="_Toc2592"/>
      <w:bookmarkStart w:id="510" w:name="_Toc24738"/>
      <w:r>
        <w:rPr>
          <w:rFonts w:hint="eastAsia" w:ascii="仿宋" w:hAnsi="仿宋" w:eastAsia="仿宋" w:cs="仿宋"/>
          <w:bCs/>
          <w:szCs w:val="24"/>
          <w:highlight w:val="none"/>
          <w:lang w:val="en-US" w:eastAsia="zh-CN"/>
        </w:rPr>
        <w:t>4</w:t>
      </w:r>
      <w:r>
        <w:rPr>
          <w:rFonts w:hint="eastAsia" w:ascii="仿宋" w:hAnsi="仿宋" w:eastAsia="仿宋" w:cs="仿宋"/>
          <w:bCs/>
          <w:szCs w:val="24"/>
          <w:highlight w:val="none"/>
        </w:rPr>
        <w:t>.4.培训要求</w:t>
      </w:r>
      <w:bookmarkEnd w:id="506"/>
      <w:bookmarkEnd w:id="507"/>
      <w:bookmarkEnd w:id="508"/>
      <w:bookmarkEnd w:id="509"/>
      <w:bookmarkEnd w:id="510"/>
    </w:p>
    <w:p w14:paraId="2D123E5E">
      <w:pPr>
        <w:spacing w:line="360" w:lineRule="auto"/>
        <w:ind w:firstLine="480"/>
        <w:rPr>
          <w:rFonts w:hint="eastAsia" w:ascii="仿宋" w:hAnsi="仿宋" w:eastAsia="仿宋" w:cs="仿宋"/>
          <w:bCs/>
          <w:szCs w:val="24"/>
          <w:highlight w:val="none"/>
        </w:rPr>
      </w:pPr>
      <w:r>
        <w:rPr>
          <w:rFonts w:hint="eastAsia" w:ascii="仿宋" w:hAnsi="仿宋" w:eastAsia="仿宋" w:cs="仿宋"/>
          <w:bCs/>
          <w:szCs w:val="24"/>
          <w:highlight w:val="none"/>
        </w:rPr>
        <w:t>(1)中标人必须向招标人提供多场次免费培训，培训方式应包括理论培训和现场培训。供应商须针对不同的培训对象，包括对领导、管理者、各级最终用户和系统管理员等相关技术人员。</w:t>
      </w:r>
    </w:p>
    <w:p w14:paraId="2FEF5DA3">
      <w:pPr>
        <w:spacing w:line="360" w:lineRule="auto"/>
        <w:ind w:firstLine="480"/>
        <w:rPr>
          <w:rFonts w:hint="eastAsia" w:ascii="仿宋" w:hAnsi="仿宋" w:eastAsia="仿宋" w:cs="仿宋"/>
          <w:bCs/>
          <w:szCs w:val="24"/>
          <w:highlight w:val="none"/>
        </w:rPr>
      </w:pPr>
      <w:r>
        <w:rPr>
          <w:rFonts w:hint="eastAsia" w:ascii="仿宋" w:hAnsi="仿宋" w:eastAsia="仿宋" w:cs="仿宋"/>
          <w:bCs/>
          <w:szCs w:val="24"/>
          <w:highlight w:val="none"/>
        </w:rPr>
        <w:t>(2)中标人派出的培训教员应具备丰富的相同课程教学经验，所有的培训教员必须中文授课，中标人必须为所有被培训人员免费提供培训用文字资料和讲义等相关用品。</w:t>
      </w:r>
    </w:p>
    <w:p w14:paraId="0CE8069E">
      <w:pPr>
        <w:spacing w:line="360" w:lineRule="auto"/>
        <w:ind w:firstLine="480" w:firstLineChars="200"/>
        <w:rPr>
          <w:rFonts w:hint="eastAsia" w:ascii="仿宋" w:hAnsi="仿宋" w:eastAsia="仿宋" w:cs="仿宋"/>
          <w:bCs/>
          <w:szCs w:val="24"/>
          <w:highlight w:val="none"/>
        </w:rPr>
      </w:pPr>
      <w:r>
        <w:rPr>
          <w:rFonts w:hint="eastAsia" w:ascii="仿宋" w:hAnsi="仿宋" w:eastAsia="仿宋" w:cs="仿宋"/>
          <w:bCs/>
          <w:szCs w:val="24"/>
          <w:highlight w:val="none"/>
        </w:rPr>
        <w:t>(3)中标人应按业主方约定合理地安排培训时间。原则上要求业主方的相关人员要完全学会系统的知识技能。</w:t>
      </w:r>
    </w:p>
    <w:p w14:paraId="3C528B0E">
      <w:pPr>
        <w:spacing w:line="360" w:lineRule="auto"/>
        <w:ind w:firstLine="480" w:firstLineChars="200"/>
        <w:rPr>
          <w:rFonts w:hint="eastAsia" w:ascii="仿宋" w:hAnsi="仿宋" w:eastAsia="仿宋" w:cs="仿宋"/>
          <w:bCs/>
          <w:szCs w:val="24"/>
          <w:highlight w:val="none"/>
        </w:rPr>
      </w:pPr>
      <w:r>
        <w:rPr>
          <w:rFonts w:hint="eastAsia" w:ascii="仿宋" w:hAnsi="仿宋" w:eastAsia="仿宋" w:cs="仿宋"/>
          <w:bCs/>
          <w:szCs w:val="24"/>
          <w:highlight w:val="none"/>
        </w:rPr>
        <w:t>(4)中标人应将所有培训费用（含培训教材费）及各项支出费用计入到投标总价中。</w:t>
      </w:r>
    </w:p>
    <w:p w14:paraId="45AD5FA4">
      <w:pPr>
        <w:spacing w:line="360" w:lineRule="auto"/>
        <w:ind w:firstLine="480" w:firstLineChars="200"/>
        <w:rPr>
          <w:rFonts w:hint="eastAsia" w:ascii="仿宋" w:hAnsi="仿宋" w:eastAsia="仿宋" w:cs="仿宋"/>
          <w:bCs/>
          <w:szCs w:val="24"/>
          <w:highlight w:val="none"/>
        </w:rPr>
      </w:pPr>
      <w:r>
        <w:rPr>
          <w:rFonts w:hint="eastAsia" w:ascii="仿宋" w:hAnsi="仿宋" w:eastAsia="仿宋" w:cs="仿宋"/>
          <w:bCs/>
          <w:szCs w:val="24"/>
          <w:highlight w:val="none"/>
        </w:rPr>
        <w:t>(5)培训次数原则上不高于10次，培训地点由业主方指定。</w:t>
      </w:r>
    </w:p>
    <w:p w14:paraId="273B0254">
      <w:pPr>
        <w:spacing w:line="360" w:lineRule="auto"/>
        <w:ind w:firstLine="480" w:firstLineChars="200"/>
        <w:rPr>
          <w:rFonts w:hint="eastAsia" w:ascii="仿宋" w:hAnsi="仿宋" w:eastAsia="仿宋" w:cs="仿宋"/>
          <w:bCs/>
          <w:szCs w:val="24"/>
          <w:highlight w:val="none"/>
        </w:rPr>
      </w:pPr>
      <w:bookmarkStart w:id="511" w:name="_Toc18624417"/>
      <w:r>
        <w:rPr>
          <w:rFonts w:hint="eastAsia" w:ascii="仿宋" w:hAnsi="仿宋" w:eastAsia="仿宋" w:cs="仿宋"/>
          <w:bCs/>
          <w:szCs w:val="24"/>
          <w:highlight w:val="none"/>
          <w:lang w:val="en-US" w:eastAsia="zh-CN"/>
        </w:rPr>
        <w:t>4</w:t>
      </w:r>
      <w:r>
        <w:rPr>
          <w:rFonts w:hint="eastAsia" w:ascii="仿宋" w:hAnsi="仿宋" w:eastAsia="仿宋" w:cs="仿宋"/>
          <w:bCs/>
          <w:szCs w:val="24"/>
          <w:highlight w:val="none"/>
        </w:rPr>
        <w:t>.5.承诺</w:t>
      </w:r>
      <w:bookmarkEnd w:id="511"/>
    </w:p>
    <w:p w14:paraId="1DD50BA3">
      <w:pPr>
        <w:spacing w:line="360" w:lineRule="auto"/>
        <w:ind w:firstLine="480" w:firstLineChars="200"/>
        <w:rPr>
          <w:rFonts w:hint="eastAsia" w:ascii="仿宋" w:hAnsi="仿宋" w:eastAsia="仿宋" w:cs="仿宋"/>
          <w:bCs/>
          <w:szCs w:val="24"/>
          <w:highlight w:val="none"/>
        </w:rPr>
      </w:pPr>
      <w:r>
        <w:rPr>
          <w:rFonts w:hint="eastAsia" w:ascii="仿宋" w:hAnsi="仿宋" w:eastAsia="仿宋" w:cs="仿宋"/>
          <w:bCs/>
          <w:szCs w:val="24"/>
          <w:highlight w:val="none"/>
        </w:rPr>
        <w:t>（1）</w:t>
      </w:r>
      <w:r>
        <w:rPr>
          <w:rFonts w:hint="eastAsia" w:ascii="仿宋" w:hAnsi="仿宋" w:eastAsia="仿宋" w:cs="仿宋"/>
          <w:bCs/>
          <w:szCs w:val="24"/>
          <w:highlight w:val="none"/>
          <w:lang w:eastAsia="zh-CN"/>
        </w:rPr>
        <w:t>供应商</w:t>
      </w:r>
      <w:r>
        <w:rPr>
          <w:rFonts w:hint="eastAsia" w:ascii="仿宋" w:hAnsi="仿宋" w:eastAsia="仿宋" w:cs="仿宋"/>
          <w:bCs/>
          <w:szCs w:val="24"/>
          <w:highlight w:val="none"/>
        </w:rPr>
        <w:t>需在</w:t>
      </w:r>
      <w:r>
        <w:rPr>
          <w:rFonts w:hint="eastAsia" w:ascii="仿宋" w:hAnsi="仿宋" w:eastAsia="仿宋" w:cs="仿宋"/>
          <w:bCs/>
          <w:szCs w:val="24"/>
          <w:highlight w:val="none"/>
          <w:lang w:eastAsia="zh-CN"/>
        </w:rPr>
        <w:t>响应文件</w:t>
      </w:r>
      <w:r>
        <w:rPr>
          <w:rFonts w:hint="eastAsia" w:ascii="仿宋" w:hAnsi="仿宋" w:eastAsia="仿宋" w:cs="仿宋"/>
          <w:bCs/>
          <w:szCs w:val="24"/>
          <w:highlight w:val="none"/>
        </w:rPr>
        <w:t>中承诺：</w:t>
      </w:r>
      <w:r>
        <w:rPr>
          <w:rFonts w:hint="eastAsia" w:ascii="仿宋" w:hAnsi="仿宋" w:eastAsia="仿宋" w:cs="仿宋"/>
          <w:bCs/>
          <w:szCs w:val="24"/>
          <w:highlight w:val="none"/>
          <w:lang w:eastAsia="zh-CN"/>
        </w:rPr>
        <w:t>响应文件</w:t>
      </w:r>
      <w:r>
        <w:rPr>
          <w:rFonts w:hint="eastAsia" w:ascii="仿宋" w:hAnsi="仿宋" w:eastAsia="仿宋" w:cs="仿宋"/>
          <w:bCs/>
          <w:szCs w:val="24"/>
          <w:highlight w:val="none"/>
        </w:rPr>
        <w:t>所投产品技术指标真实有效。</w:t>
      </w:r>
      <w:r>
        <w:rPr>
          <w:rFonts w:hint="eastAsia" w:ascii="仿宋" w:hAnsi="仿宋" w:eastAsia="仿宋" w:cs="仿宋"/>
          <w:bCs/>
          <w:szCs w:val="24"/>
          <w:highlight w:val="none"/>
          <w:lang w:eastAsia="zh-CN"/>
        </w:rPr>
        <w:t>供应商</w:t>
      </w:r>
      <w:r>
        <w:rPr>
          <w:rFonts w:hint="eastAsia" w:ascii="仿宋" w:hAnsi="仿宋" w:eastAsia="仿宋" w:cs="仿宋"/>
          <w:bCs/>
          <w:szCs w:val="24"/>
          <w:highlight w:val="none"/>
        </w:rPr>
        <w:t>如若中标，在签订合同之前，将无条件配合招标招标人对采购货物的实际技术指标进行实样检测（如有必要可委托专业的检测机构检测，检测机构由招标招标人指定，费用由</w:t>
      </w:r>
      <w:r>
        <w:rPr>
          <w:rFonts w:hint="eastAsia" w:ascii="仿宋" w:hAnsi="仿宋" w:eastAsia="仿宋" w:cs="仿宋"/>
          <w:bCs/>
          <w:szCs w:val="24"/>
          <w:highlight w:val="none"/>
          <w:lang w:eastAsia="zh-CN"/>
        </w:rPr>
        <w:t>供应商</w:t>
      </w:r>
      <w:r>
        <w:rPr>
          <w:rFonts w:hint="eastAsia" w:ascii="仿宋" w:hAnsi="仿宋" w:eastAsia="仿宋" w:cs="仿宋"/>
          <w:bCs/>
          <w:szCs w:val="24"/>
          <w:highlight w:val="none"/>
        </w:rPr>
        <w:t>承担），如检测结果显示所供货物未达到响应招标文件技术要求或未达到</w:t>
      </w:r>
      <w:r>
        <w:rPr>
          <w:rFonts w:hint="eastAsia" w:ascii="仿宋" w:hAnsi="仿宋" w:eastAsia="仿宋" w:cs="仿宋"/>
          <w:bCs/>
          <w:szCs w:val="24"/>
          <w:highlight w:val="none"/>
          <w:lang w:eastAsia="zh-CN"/>
        </w:rPr>
        <w:t>供应商响应文件</w:t>
      </w:r>
      <w:r>
        <w:rPr>
          <w:rFonts w:hint="eastAsia" w:ascii="仿宋" w:hAnsi="仿宋" w:eastAsia="仿宋" w:cs="仿宋"/>
          <w:bCs/>
          <w:szCs w:val="24"/>
          <w:highlight w:val="none"/>
        </w:rPr>
        <w:t>所列技术参数指标，</w:t>
      </w:r>
      <w:r>
        <w:rPr>
          <w:rFonts w:hint="eastAsia" w:ascii="仿宋" w:hAnsi="仿宋" w:eastAsia="仿宋" w:cs="仿宋"/>
          <w:bCs/>
          <w:szCs w:val="24"/>
          <w:highlight w:val="none"/>
          <w:lang w:eastAsia="zh-CN"/>
        </w:rPr>
        <w:t>供应商</w:t>
      </w:r>
      <w:r>
        <w:rPr>
          <w:rFonts w:hint="eastAsia" w:ascii="仿宋" w:hAnsi="仿宋" w:eastAsia="仿宋" w:cs="仿宋"/>
          <w:bCs/>
          <w:szCs w:val="24"/>
          <w:highlight w:val="none"/>
        </w:rPr>
        <w:t>将放弃中标资格，投标保证金可不予退还。</w:t>
      </w:r>
    </w:p>
    <w:p w14:paraId="112C2BC2">
      <w:pPr>
        <w:spacing w:line="360" w:lineRule="auto"/>
        <w:ind w:firstLine="480" w:firstLineChars="200"/>
        <w:rPr>
          <w:rFonts w:hint="eastAsia" w:ascii="仿宋" w:hAnsi="仿宋" w:eastAsia="仿宋" w:cs="仿宋"/>
          <w:bCs/>
          <w:szCs w:val="24"/>
          <w:highlight w:val="none"/>
        </w:rPr>
      </w:pPr>
      <w:r>
        <w:rPr>
          <w:rFonts w:hint="eastAsia" w:ascii="仿宋" w:hAnsi="仿宋" w:eastAsia="仿宋" w:cs="仿宋"/>
          <w:bCs/>
          <w:szCs w:val="24"/>
          <w:highlight w:val="none"/>
        </w:rPr>
        <w:t>（2）</w:t>
      </w:r>
      <w:r>
        <w:rPr>
          <w:rFonts w:hint="eastAsia" w:ascii="仿宋" w:hAnsi="仿宋" w:eastAsia="仿宋" w:cs="仿宋"/>
          <w:bCs/>
          <w:szCs w:val="24"/>
          <w:highlight w:val="none"/>
          <w:lang w:eastAsia="zh-CN"/>
        </w:rPr>
        <w:t>供应商</w:t>
      </w:r>
      <w:r>
        <w:rPr>
          <w:rFonts w:hint="eastAsia" w:ascii="仿宋" w:hAnsi="仿宋" w:eastAsia="仿宋" w:cs="仿宋"/>
          <w:bCs/>
          <w:szCs w:val="24"/>
          <w:highlight w:val="none"/>
        </w:rPr>
        <w:t>需对产品质量保证做出承诺，如因中标人提供的产品质量问题导致招标人发生重大安全生产事故的，同意委托人有权无条件终止合同以及保留进一步追究责任的权利。</w:t>
      </w:r>
    </w:p>
    <w:p w14:paraId="77E1D79B">
      <w:pPr>
        <w:spacing w:line="360" w:lineRule="auto"/>
        <w:ind w:firstLine="480" w:firstLineChars="200"/>
        <w:rPr>
          <w:rFonts w:hint="eastAsia" w:ascii="仿宋" w:hAnsi="仿宋" w:eastAsia="仿宋" w:cs="仿宋"/>
          <w:bCs/>
          <w:szCs w:val="24"/>
          <w:highlight w:val="none"/>
        </w:rPr>
      </w:pPr>
      <w:r>
        <w:rPr>
          <w:rFonts w:hint="eastAsia" w:ascii="仿宋" w:hAnsi="仿宋" w:eastAsia="仿宋" w:cs="仿宋"/>
          <w:bCs/>
          <w:szCs w:val="24"/>
          <w:highlight w:val="none"/>
        </w:rPr>
        <w:t>（3）</w:t>
      </w:r>
      <w:r>
        <w:rPr>
          <w:rFonts w:hint="eastAsia" w:ascii="仿宋" w:hAnsi="仿宋" w:eastAsia="仿宋" w:cs="仿宋"/>
          <w:bCs/>
          <w:szCs w:val="24"/>
          <w:highlight w:val="none"/>
          <w:lang w:eastAsia="zh-CN"/>
        </w:rPr>
        <w:t>供应商</w:t>
      </w:r>
      <w:r>
        <w:rPr>
          <w:rFonts w:hint="eastAsia" w:ascii="仿宋" w:hAnsi="仿宋" w:eastAsia="仿宋" w:cs="仿宋"/>
          <w:bCs/>
          <w:szCs w:val="24"/>
          <w:highlight w:val="none"/>
        </w:rPr>
        <w:t>需在</w:t>
      </w:r>
      <w:r>
        <w:rPr>
          <w:rFonts w:hint="eastAsia" w:ascii="仿宋" w:hAnsi="仿宋" w:eastAsia="仿宋" w:cs="仿宋"/>
          <w:bCs/>
          <w:szCs w:val="24"/>
          <w:highlight w:val="none"/>
          <w:lang w:eastAsia="zh-CN"/>
        </w:rPr>
        <w:t>响应文件</w:t>
      </w:r>
      <w:r>
        <w:rPr>
          <w:rFonts w:hint="eastAsia" w:ascii="仿宋" w:hAnsi="仿宋" w:eastAsia="仿宋" w:cs="仿宋"/>
          <w:bCs/>
          <w:szCs w:val="24"/>
          <w:highlight w:val="none"/>
        </w:rPr>
        <w:t>中承诺：中标人所提供系统涉及的知识产权是合法取得，并享有完整的知识产权，不会因为招标人的使用而被责令停止使用、追偿或要求赔偿损失，如出现此情况，一切经济和法律责任均由中标人承担。中标人提供的软件及服务必须为合格产品，质量符合国际或国家通用标准，如出现质量问题，中标人负责修缮，发生的费用由中标人负</w:t>
      </w:r>
      <w:r>
        <w:rPr>
          <w:rFonts w:hint="eastAsia" w:ascii="仿宋" w:hAnsi="仿宋" w:eastAsia="仿宋" w:cs="仿宋"/>
          <w:bCs/>
          <w:szCs w:val="24"/>
          <w:highlight w:val="none"/>
          <w:lang w:eastAsia="zh-CN"/>
        </w:rPr>
        <w:t>责</w:t>
      </w:r>
      <w:r>
        <w:rPr>
          <w:rFonts w:hint="eastAsia" w:ascii="仿宋" w:hAnsi="仿宋" w:eastAsia="仿宋" w:cs="仿宋"/>
          <w:bCs/>
          <w:szCs w:val="24"/>
          <w:highlight w:val="none"/>
        </w:rPr>
        <w:t>。</w:t>
      </w:r>
    </w:p>
    <w:p w14:paraId="59444C40">
      <w:pPr>
        <w:keepNext w:val="0"/>
        <w:keepLines w:val="0"/>
        <w:adjustRightInd/>
        <w:snapToGrid/>
        <w:spacing w:before="0" w:after="0" w:line="360" w:lineRule="auto"/>
        <w:ind w:firstLine="480"/>
        <w:outlineLvl w:val="9"/>
        <w:rPr>
          <w:rFonts w:hint="eastAsia" w:ascii="仿宋" w:hAnsi="仿宋" w:eastAsia="仿宋" w:cs="仿宋"/>
          <w:b w:val="0"/>
          <w:bCs/>
          <w:sz w:val="24"/>
          <w:szCs w:val="24"/>
          <w:highlight w:val="none"/>
          <w:lang w:val="en-US" w:eastAsia="zh-CN"/>
        </w:rPr>
      </w:pPr>
      <w:bookmarkStart w:id="512" w:name="_Toc8538"/>
      <w:bookmarkStart w:id="513" w:name="_Toc9030"/>
      <w:bookmarkStart w:id="514" w:name="_Toc20686"/>
      <w:bookmarkStart w:id="515" w:name="_Toc14217"/>
      <w:bookmarkStart w:id="516" w:name="_Toc29413"/>
      <w:bookmarkStart w:id="517" w:name="_Toc22220"/>
      <w:bookmarkStart w:id="518" w:name="_Toc18774"/>
      <w:r>
        <w:rPr>
          <w:rFonts w:hint="eastAsia" w:ascii="仿宋" w:hAnsi="仿宋" w:eastAsia="仿宋" w:cs="仿宋"/>
          <w:b w:val="0"/>
          <w:bCs/>
          <w:sz w:val="24"/>
          <w:szCs w:val="24"/>
          <w:highlight w:val="none"/>
          <w:lang w:val="en-US" w:eastAsia="zh-CN"/>
        </w:rPr>
        <w:t>4</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6模块清单及用户数要求</w:t>
      </w:r>
      <w:bookmarkEnd w:id="512"/>
      <w:bookmarkEnd w:id="513"/>
      <w:bookmarkEnd w:id="514"/>
      <w:bookmarkEnd w:id="515"/>
      <w:bookmarkEnd w:id="516"/>
      <w:bookmarkEnd w:id="517"/>
      <w:bookmarkEnd w:id="518"/>
    </w:p>
    <w:tbl>
      <w:tblPr>
        <w:tblStyle w:val="40"/>
        <w:tblW w:w="89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3314"/>
        <w:gridCol w:w="3736"/>
        <w:gridCol w:w="1905"/>
      </w:tblGrid>
      <w:tr w14:paraId="57ED2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blHeader/>
          <w:jc w:val="center"/>
        </w:trPr>
        <w:tc>
          <w:tcPr>
            <w:tcW w:w="3314" w:type="dxa"/>
            <w:tcBorders>
              <w:top w:val="single" w:color="auto" w:sz="12" w:space="0"/>
              <w:left w:val="single" w:color="auto" w:sz="12" w:space="0"/>
              <w:bottom w:val="single" w:color="auto" w:sz="4" w:space="0"/>
              <w:right w:val="single" w:color="auto" w:sz="4" w:space="0"/>
            </w:tcBorders>
            <w:shd w:val="clear" w:color="auto" w:fill="EBF0F1"/>
            <w:vAlign w:val="center"/>
          </w:tcPr>
          <w:p w14:paraId="15A44060">
            <w:pPr>
              <w:pStyle w:val="41"/>
              <w:snapToGrid w:val="0"/>
              <w:spacing w:line="240" w:lineRule="auto"/>
              <w:ind w:left="0" w:leftChars="0" w:right="0" w:rightChars="0" w:firstLine="0" w:firstLineChars="0"/>
              <w:rPr>
                <w:rFonts w:hint="eastAsia" w:ascii="仿宋" w:hAnsi="仿宋" w:eastAsia="仿宋" w:cs="仿宋"/>
                <w:b w:val="0"/>
                <w:bCs/>
                <w:sz w:val="21"/>
                <w:highlight w:val="none"/>
              </w:rPr>
            </w:pPr>
            <w:r>
              <w:rPr>
                <w:rFonts w:hint="eastAsia" w:ascii="仿宋" w:hAnsi="仿宋" w:eastAsia="仿宋" w:cs="仿宋"/>
                <w:b w:val="0"/>
                <w:bCs/>
                <w:spacing w:val="-3"/>
                <w:sz w:val="21"/>
                <w:highlight w:val="none"/>
              </w:rPr>
              <w:t>分组名称</w:t>
            </w:r>
          </w:p>
        </w:tc>
        <w:tc>
          <w:tcPr>
            <w:tcW w:w="3736" w:type="dxa"/>
            <w:tcBorders>
              <w:top w:val="single" w:color="auto" w:sz="12" w:space="0"/>
              <w:left w:val="single" w:color="auto" w:sz="4" w:space="0"/>
              <w:bottom w:val="single" w:color="auto" w:sz="4" w:space="0"/>
              <w:right w:val="single" w:color="auto" w:sz="4" w:space="0"/>
            </w:tcBorders>
            <w:shd w:val="clear" w:color="auto" w:fill="EBF0F1"/>
            <w:vAlign w:val="center"/>
          </w:tcPr>
          <w:p w14:paraId="59464F88">
            <w:pPr>
              <w:pStyle w:val="41"/>
              <w:snapToGrid w:val="0"/>
              <w:spacing w:line="240" w:lineRule="auto"/>
              <w:ind w:left="0" w:leftChars="0" w:right="0" w:rightChars="0" w:firstLine="0" w:firstLineChars="0"/>
              <w:rPr>
                <w:rFonts w:hint="eastAsia" w:ascii="仿宋" w:hAnsi="仿宋" w:eastAsia="仿宋" w:cs="仿宋"/>
                <w:b w:val="0"/>
                <w:bCs/>
                <w:sz w:val="21"/>
                <w:highlight w:val="none"/>
              </w:rPr>
            </w:pPr>
            <w:r>
              <w:rPr>
                <w:rFonts w:hint="eastAsia" w:ascii="仿宋" w:hAnsi="仿宋" w:eastAsia="仿宋" w:cs="仿宋"/>
                <w:b w:val="0"/>
                <w:bCs/>
                <w:spacing w:val="-5"/>
                <w:sz w:val="21"/>
                <w:highlight w:val="none"/>
              </w:rPr>
              <w:t>模块</w:t>
            </w:r>
          </w:p>
        </w:tc>
        <w:tc>
          <w:tcPr>
            <w:tcW w:w="1905" w:type="dxa"/>
            <w:tcBorders>
              <w:top w:val="single" w:color="auto" w:sz="12" w:space="0"/>
              <w:left w:val="single" w:color="auto" w:sz="4" w:space="0"/>
              <w:bottom w:val="single" w:color="auto" w:sz="4" w:space="0"/>
              <w:right w:val="single" w:color="auto" w:sz="12" w:space="0"/>
            </w:tcBorders>
            <w:shd w:val="clear" w:color="auto" w:fill="EBF0F1"/>
            <w:vAlign w:val="center"/>
          </w:tcPr>
          <w:p w14:paraId="7965F822">
            <w:pPr>
              <w:pStyle w:val="41"/>
              <w:snapToGrid w:val="0"/>
              <w:spacing w:line="240" w:lineRule="auto"/>
              <w:ind w:left="0" w:leftChars="0" w:right="0" w:rightChars="0" w:firstLine="0" w:firstLineChars="0"/>
              <w:rPr>
                <w:rFonts w:hint="eastAsia" w:ascii="仿宋" w:hAnsi="仿宋" w:eastAsia="仿宋" w:cs="仿宋"/>
                <w:b w:val="0"/>
                <w:bCs/>
                <w:sz w:val="21"/>
                <w:highlight w:val="none"/>
              </w:rPr>
            </w:pPr>
            <w:r>
              <w:rPr>
                <w:rFonts w:hint="eastAsia" w:ascii="仿宋" w:hAnsi="仿宋" w:eastAsia="仿宋" w:cs="仿宋"/>
                <w:b w:val="0"/>
                <w:bCs/>
                <w:spacing w:val="-5"/>
                <w:sz w:val="21"/>
                <w:highlight w:val="none"/>
              </w:rPr>
              <w:t>用户</w:t>
            </w:r>
          </w:p>
        </w:tc>
      </w:tr>
      <w:tr w14:paraId="7CB55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314" w:type="dxa"/>
            <w:vMerge w:val="restart"/>
            <w:tcBorders>
              <w:top w:val="single" w:color="auto" w:sz="4" w:space="0"/>
              <w:left w:val="single" w:color="auto" w:sz="12" w:space="0"/>
              <w:bottom w:val="single" w:color="auto" w:sz="4" w:space="0"/>
              <w:right w:val="single" w:color="auto" w:sz="4" w:space="0"/>
            </w:tcBorders>
            <w:vAlign w:val="center"/>
          </w:tcPr>
          <w:p w14:paraId="0CC0802A">
            <w:pPr>
              <w:pStyle w:val="41"/>
              <w:snapToGrid w:val="0"/>
              <w:spacing w:before="0" w:line="240" w:lineRule="auto"/>
              <w:ind w:left="0" w:leftChars="0" w:right="0" w:rightChars="0" w:firstLine="0" w:firstLineChars="0"/>
              <w:jc w:val="center"/>
              <w:rPr>
                <w:rFonts w:hint="eastAsia" w:ascii="仿宋" w:hAnsi="仿宋" w:eastAsia="仿宋" w:cs="仿宋"/>
                <w:b w:val="0"/>
                <w:bCs/>
                <w:spacing w:val="-1"/>
                <w:sz w:val="21"/>
                <w:highlight w:val="none"/>
              </w:rPr>
            </w:pPr>
            <w:r>
              <w:rPr>
                <w:rFonts w:hint="eastAsia" w:ascii="仿宋" w:hAnsi="仿宋" w:eastAsia="仿宋" w:cs="仿宋"/>
                <w:b w:val="0"/>
                <w:bCs/>
                <w:spacing w:val="-1"/>
                <w:sz w:val="21"/>
                <w:highlight w:val="none"/>
                <w:lang w:val="en-US" w:eastAsia="zh-CN"/>
              </w:rPr>
              <w:t>费用报销</w:t>
            </w:r>
          </w:p>
        </w:tc>
        <w:tc>
          <w:tcPr>
            <w:tcW w:w="3736" w:type="dxa"/>
            <w:tcBorders>
              <w:top w:val="single" w:color="auto" w:sz="4" w:space="0"/>
              <w:left w:val="single" w:color="auto" w:sz="4" w:space="0"/>
              <w:bottom w:val="single" w:color="auto" w:sz="4" w:space="0"/>
              <w:right w:val="single" w:color="auto" w:sz="4" w:space="0"/>
            </w:tcBorders>
            <w:vAlign w:val="center"/>
          </w:tcPr>
          <w:p w14:paraId="7BF18D3B">
            <w:pPr>
              <w:pStyle w:val="41"/>
              <w:snapToGrid w:val="0"/>
              <w:spacing w:before="0" w:line="240" w:lineRule="auto"/>
              <w:ind w:left="0" w:leftChars="0" w:right="0" w:rightChars="0" w:firstLine="0" w:firstLineChars="0"/>
              <w:jc w:val="center"/>
              <w:rPr>
                <w:rFonts w:hint="eastAsia" w:ascii="仿宋" w:hAnsi="仿宋" w:eastAsia="仿宋" w:cs="仿宋"/>
                <w:b w:val="0"/>
                <w:bCs/>
                <w:spacing w:val="-5"/>
                <w:sz w:val="21"/>
                <w:highlight w:val="none"/>
                <w:lang w:val="en-US" w:eastAsia="zh-CN"/>
              </w:rPr>
            </w:pPr>
            <w:r>
              <w:rPr>
                <w:rFonts w:hint="eastAsia" w:ascii="仿宋" w:hAnsi="仿宋" w:eastAsia="仿宋" w:cs="仿宋"/>
                <w:b w:val="0"/>
                <w:bCs/>
                <w:spacing w:val="-2"/>
                <w:sz w:val="21"/>
                <w:highlight w:val="none"/>
                <w:lang w:val="en-US" w:eastAsia="zh-CN"/>
              </w:rPr>
              <w:t>差旅费用报销</w:t>
            </w:r>
          </w:p>
        </w:tc>
        <w:tc>
          <w:tcPr>
            <w:tcW w:w="1905" w:type="dxa"/>
            <w:vMerge w:val="restart"/>
            <w:tcBorders>
              <w:top w:val="single" w:color="auto" w:sz="4" w:space="0"/>
              <w:left w:val="single" w:color="auto" w:sz="4" w:space="0"/>
              <w:bottom w:val="single" w:color="auto" w:sz="4" w:space="0"/>
              <w:right w:val="single" w:color="auto" w:sz="12" w:space="0"/>
            </w:tcBorders>
            <w:vAlign w:val="center"/>
          </w:tcPr>
          <w:p w14:paraId="35104E8D">
            <w:pPr>
              <w:pStyle w:val="41"/>
              <w:snapToGrid w:val="0"/>
              <w:spacing w:before="0" w:line="240" w:lineRule="auto"/>
              <w:ind w:left="0" w:leftChars="0" w:right="0" w:rightChars="0" w:firstLine="0" w:firstLineChars="0"/>
              <w:rPr>
                <w:rFonts w:hint="eastAsia" w:ascii="仿宋" w:hAnsi="仿宋" w:eastAsia="仿宋" w:cs="仿宋"/>
                <w:b w:val="0"/>
                <w:bCs/>
                <w:spacing w:val="-5"/>
                <w:sz w:val="21"/>
                <w:highlight w:val="none"/>
                <w:lang w:val="en-US" w:eastAsia="zh-CN"/>
              </w:rPr>
            </w:pPr>
            <w:r>
              <w:rPr>
                <w:rFonts w:hint="eastAsia" w:ascii="仿宋" w:hAnsi="仿宋" w:eastAsia="仿宋" w:cs="仿宋"/>
                <w:b w:val="0"/>
                <w:bCs/>
                <w:spacing w:val="-5"/>
                <w:sz w:val="21"/>
                <w:highlight w:val="none"/>
                <w:lang w:val="en-US" w:eastAsia="zh-CN"/>
              </w:rPr>
              <w:t>1000</w:t>
            </w:r>
          </w:p>
        </w:tc>
      </w:tr>
      <w:tr w14:paraId="65231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314" w:type="dxa"/>
            <w:vMerge w:val="continue"/>
            <w:tcBorders>
              <w:top w:val="single" w:color="auto" w:sz="4" w:space="0"/>
              <w:left w:val="single" w:color="auto" w:sz="12" w:space="0"/>
              <w:bottom w:val="single" w:color="auto" w:sz="4" w:space="0"/>
              <w:right w:val="single" w:color="auto" w:sz="4" w:space="0"/>
            </w:tcBorders>
            <w:vAlign w:val="center"/>
          </w:tcPr>
          <w:p w14:paraId="15A53AA8">
            <w:pPr>
              <w:pStyle w:val="41"/>
              <w:snapToGrid w:val="0"/>
              <w:spacing w:before="0" w:line="240" w:lineRule="auto"/>
              <w:ind w:left="0" w:leftChars="0" w:right="0" w:rightChars="0" w:firstLine="0" w:firstLineChars="0"/>
              <w:jc w:val="center"/>
              <w:rPr>
                <w:rFonts w:hint="eastAsia" w:ascii="仿宋" w:hAnsi="仿宋" w:eastAsia="仿宋" w:cs="仿宋"/>
                <w:b w:val="0"/>
                <w:bCs/>
                <w:spacing w:val="-1"/>
                <w:sz w:val="21"/>
                <w:highlight w:val="none"/>
              </w:rPr>
            </w:pPr>
          </w:p>
        </w:tc>
        <w:tc>
          <w:tcPr>
            <w:tcW w:w="3736" w:type="dxa"/>
            <w:tcBorders>
              <w:top w:val="single" w:color="auto" w:sz="4" w:space="0"/>
              <w:left w:val="single" w:color="auto" w:sz="4" w:space="0"/>
              <w:bottom w:val="single" w:color="auto" w:sz="4" w:space="0"/>
              <w:right w:val="single" w:color="auto" w:sz="4" w:space="0"/>
            </w:tcBorders>
            <w:vAlign w:val="center"/>
          </w:tcPr>
          <w:p w14:paraId="29121BD1">
            <w:pPr>
              <w:pStyle w:val="41"/>
              <w:snapToGrid w:val="0"/>
              <w:spacing w:before="0" w:line="240" w:lineRule="auto"/>
              <w:ind w:left="0" w:leftChars="0" w:right="0" w:rightChars="0" w:firstLine="0" w:firstLineChars="0"/>
              <w:jc w:val="center"/>
              <w:rPr>
                <w:rFonts w:hint="eastAsia" w:ascii="仿宋" w:hAnsi="仿宋" w:eastAsia="仿宋" w:cs="仿宋"/>
                <w:b w:val="0"/>
                <w:bCs/>
                <w:spacing w:val="-2"/>
                <w:sz w:val="21"/>
                <w:highlight w:val="none"/>
                <w:lang w:val="en-US" w:eastAsia="zh-CN"/>
              </w:rPr>
            </w:pPr>
            <w:r>
              <w:rPr>
                <w:rFonts w:hint="eastAsia" w:ascii="仿宋" w:hAnsi="仿宋" w:eastAsia="仿宋" w:cs="仿宋"/>
                <w:b w:val="0"/>
                <w:bCs/>
                <w:spacing w:val="-2"/>
                <w:sz w:val="21"/>
                <w:highlight w:val="none"/>
                <w:lang w:val="en-US" w:eastAsia="zh-CN"/>
              </w:rPr>
              <w:t>其他费用报销</w:t>
            </w:r>
          </w:p>
        </w:tc>
        <w:tc>
          <w:tcPr>
            <w:tcW w:w="1905" w:type="dxa"/>
            <w:vMerge w:val="continue"/>
            <w:tcBorders>
              <w:top w:val="single" w:color="auto" w:sz="4" w:space="0"/>
              <w:left w:val="single" w:color="auto" w:sz="4" w:space="0"/>
              <w:bottom w:val="single" w:color="auto" w:sz="4" w:space="0"/>
              <w:right w:val="single" w:color="auto" w:sz="12" w:space="0"/>
            </w:tcBorders>
            <w:vAlign w:val="center"/>
          </w:tcPr>
          <w:p w14:paraId="30525F2D">
            <w:pPr>
              <w:pStyle w:val="41"/>
              <w:snapToGrid w:val="0"/>
              <w:spacing w:before="0" w:line="240" w:lineRule="auto"/>
              <w:ind w:left="0" w:leftChars="0" w:right="0" w:rightChars="0" w:firstLine="0" w:firstLineChars="0"/>
              <w:rPr>
                <w:rFonts w:hint="eastAsia" w:ascii="仿宋" w:hAnsi="仿宋" w:eastAsia="仿宋" w:cs="仿宋"/>
                <w:b w:val="0"/>
                <w:bCs/>
                <w:spacing w:val="-5"/>
                <w:sz w:val="21"/>
                <w:highlight w:val="none"/>
                <w:lang w:eastAsia="zh-CN"/>
              </w:rPr>
            </w:pPr>
          </w:p>
        </w:tc>
      </w:tr>
      <w:tr w14:paraId="11C34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314" w:type="dxa"/>
            <w:vMerge w:val="continue"/>
            <w:tcBorders>
              <w:top w:val="single" w:color="auto" w:sz="4" w:space="0"/>
              <w:left w:val="single" w:color="auto" w:sz="12" w:space="0"/>
              <w:bottom w:val="single" w:color="auto" w:sz="4" w:space="0"/>
              <w:right w:val="single" w:color="auto" w:sz="4" w:space="0"/>
            </w:tcBorders>
            <w:vAlign w:val="center"/>
          </w:tcPr>
          <w:p w14:paraId="06C5A228">
            <w:pPr>
              <w:pStyle w:val="41"/>
              <w:snapToGrid w:val="0"/>
              <w:spacing w:before="0" w:line="240" w:lineRule="auto"/>
              <w:ind w:left="0" w:leftChars="0" w:right="0" w:rightChars="0" w:firstLine="0" w:firstLineChars="0"/>
              <w:jc w:val="center"/>
              <w:rPr>
                <w:rFonts w:hint="eastAsia" w:ascii="仿宋" w:hAnsi="仿宋" w:eastAsia="仿宋" w:cs="仿宋"/>
                <w:b w:val="0"/>
                <w:bCs/>
                <w:spacing w:val="-1"/>
                <w:sz w:val="21"/>
                <w:highlight w:val="none"/>
              </w:rPr>
            </w:pPr>
          </w:p>
        </w:tc>
        <w:tc>
          <w:tcPr>
            <w:tcW w:w="3736" w:type="dxa"/>
            <w:tcBorders>
              <w:top w:val="single" w:color="auto" w:sz="4" w:space="0"/>
              <w:left w:val="single" w:color="auto" w:sz="4" w:space="0"/>
              <w:bottom w:val="single" w:color="auto" w:sz="4" w:space="0"/>
              <w:right w:val="single" w:color="auto" w:sz="4" w:space="0"/>
            </w:tcBorders>
            <w:vAlign w:val="center"/>
          </w:tcPr>
          <w:p w14:paraId="094ADA3C">
            <w:pPr>
              <w:pStyle w:val="41"/>
              <w:snapToGrid w:val="0"/>
              <w:spacing w:before="0" w:line="240" w:lineRule="auto"/>
              <w:ind w:left="0" w:leftChars="0" w:right="0" w:rightChars="0" w:firstLine="0" w:firstLineChars="0"/>
              <w:jc w:val="center"/>
              <w:rPr>
                <w:rFonts w:hint="eastAsia" w:ascii="仿宋" w:hAnsi="仿宋" w:eastAsia="仿宋" w:cs="仿宋"/>
                <w:b w:val="0"/>
                <w:bCs/>
                <w:spacing w:val="-2"/>
                <w:sz w:val="21"/>
                <w:highlight w:val="none"/>
                <w:lang w:val="en-US" w:eastAsia="zh-CN"/>
              </w:rPr>
            </w:pPr>
            <w:r>
              <w:rPr>
                <w:rFonts w:hint="eastAsia" w:ascii="仿宋" w:hAnsi="仿宋" w:eastAsia="仿宋" w:cs="仿宋"/>
                <w:b w:val="0"/>
                <w:bCs/>
                <w:spacing w:val="-2"/>
                <w:sz w:val="21"/>
                <w:highlight w:val="none"/>
                <w:lang w:val="en-US" w:eastAsia="zh-CN"/>
              </w:rPr>
              <w:t>对公报销</w:t>
            </w:r>
          </w:p>
        </w:tc>
        <w:tc>
          <w:tcPr>
            <w:tcW w:w="1905" w:type="dxa"/>
            <w:vMerge w:val="continue"/>
            <w:tcBorders>
              <w:top w:val="single" w:color="auto" w:sz="4" w:space="0"/>
              <w:left w:val="single" w:color="auto" w:sz="4" w:space="0"/>
              <w:bottom w:val="single" w:color="auto" w:sz="4" w:space="0"/>
              <w:right w:val="single" w:color="auto" w:sz="12" w:space="0"/>
            </w:tcBorders>
            <w:vAlign w:val="center"/>
          </w:tcPr>
          <w:p w14:paraId="49B2CB4F">
            <w:pPr>
              <w:pStyle w:val="41"/>
              <w:snapToGrid w:val="0"/>
              <w:spacing w:before="0" w:line="240" w:lineRule="auto"/>
              <w:ind w:left="0" w:leftChars="0" w:right="0" w:rightChars="0" w:firstLine="0" w:firstLineChars="0"/>
              <w:rPr>
                <w:rFonts w:hint="eastAsia" w:ascii="仿宋" w:hAnsi="仿宋" w:eastAsia="仿宋" w:cs="仿宋"/>
                <w:b w:val="0"/>
                <w:bCs/>
                <w:spacing w:val="-5"/>
                <w:sz w:val="21"/>
                <w:highlight w:val="none"/>
                <w:lang w:eastAsia="zh-CN"/>
              </w:rPr>
            </w:pPr>
          </w:p>
        </w:tc>
      </w:tr>
      <w:tr w14:paraId="4ACC7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314" w:type="dxa"/>
            <w:vMerge w:val="continue"/>
            <w:tcBorders>
              <w:top w:val="single" w:color="auto" w:sz="4" w:space="0"/>
              <w:left w:val="single" w:color="auto" w:sz="12" w:space="0"/>
              <w:bottom w:val="single" w:color="auto" w:sz="4" w:space="0"/>
              <w:right w:val="single" w:color="auto" w:sz="4" w:space="0"/>
            </w:tcBorders>
            <w:vAlign w:val="center"/>
          </w:tcPr>
          <w:p w14:paraId="56C99E69">
            <w:pPr>
              <w:pStyle w:val="41"/>
              <w:snapToGrid w:val="0"/>
              <w:spacing w:before="0" w:line="240" w:lineRule="auto"/>
              <w:ind w:left="0" w:leftChars="0" w:right="0" w:rightChars="0" w:firstLine="0" w:firstLineChars="0"/>
              <w:jc w:val="center"/>
              <w:rPr>
                <w:rFonts w:hint="eastAsia" w:ascii="仿宋" w:hAnsi="仿宋" w:eastAsia="仿宋" w:cs="仿宋"/>
                <w:b w:val="0"/>
                <w:bCs/>
                <w:spacing w:val="-1"/>
                <w:sz w:val="21"/>
                <w:highlight w:val="none"/>
              </w:rPr>
            </w:pPr>
          </w:p>
        </w:tc>
        <w:tc>
          <w:tcPr>
            <w:tcW w:w="3736" w:type="dxa"/>
            <w:tcBorders>
              <w:top w:val="single" w:color="auto" w:sz="4" w:space="0"/>
              <w:left w:val="single" w:color="auto" w:sz="4" w:space="0"/>
              <w:bottom w:val="single" w:color="auto" w:sz="4" w:space="0"/>
              <w:right w:val="single" w:color="auto" w:sz="4" w:space="0"/>
            </w:tcBorders>
            <w:vAlign w:val="center"/>
          </w:tcPr>
          <w:p w14:paraId="100F8F60">
            <w:pPr>
              <w:pStyle w:val="41"/>
              <w:snapToGrid w:val="0"/>
              <w:spacing w:before="0" w:line="240" w:lineRule="auto"/>
              <w:ind w:left="0" w:leftChars="0" w:right="0" w:rightChars="0" w:firstLine="0" w:firstLineChars="0"/>
              <w:jc w:val="center"/>
              <w:rPr>
                <w:rFonts w:hint="eastAsia" w:ascii="仿宋" w:hAnsi="仿宋" w:eastAsia="仿宋" w:cs="仿宋"/>
                <w:b w:val="0"/>
                <w:bCs/>
                <w:spacing w:val="-2"/>
                <w:sz w:val="21"/>
                <w:highlight w:val="none"/>
                <w:lang w:val="en-US" w:eastAsia="zh-CN"/>
              </w:rPr>
            </w:pPr>
            <w:r>
              <w:rPr>
                <w:rFonts w:hint="eastAsia" w:ascii="仿宋" w:hAnsi="仿宋" w:eastAsia="仿宋" w:cs="仿宋"/>
                <w:b w:val="0"/>
                <w:bCs/>
                <w:spacing w:val="-2"/>
                <w:sz w:val="21"/>
                <w:highlight w:val="none"/>
                <w:lang w:val="en-US" w:eastAsia="zh-CN"/>
              </w:rPr>
              <w:t>报帐工作台</w:t>
            </w:r>
          </w:p>
        </w:tc>
        <w:tc>
          <w:tcPr>
            <w:tcW w:w="1905" w:type="dxa"/>
            <w:vMerge w:val="continue"/>
            <w:tcBorders>
              <w:top w:val="single" w:color="auto" w:sz="4" w:space="0"/>
              <w:left w:val="single" w:color="auto" w:sz="4" w:space="0"/>
              <w:bottom w:val="single" w:color="auto" w:sz="4" w:space="0"/>
              <w:right w:val="single" w:color="auto" w:sz="12" w:space="0"/>
            </w:tcBorders>
            <w:vAlign w:val="center"/>
          </w:tcPr>
          <w:p w14:paraId="4CDC5422">
            <w:pPr>
              <w:pStyle w:val="41"/>
              <w:snapToGrid w:val="0"/>
              <w:spacing w:before="0" w:line="240" w:lineRule="auto"/>
              <w:ind w:left="0" w:leftChars="0" w:right="0" w:rightChars="0" w:firstLine="0" w:firstLineChars="0"/>
              <w:rPr>
                <w:rFonts w:hint="eastAsia" w:ascii="仿宋" w:hAnsi="仿宋" w:eastAsia="仿宋" w:cs="仿宋"/>
                <w:b w:val="0"/>
                <w:bCs/>
                <w:spacing w:val="-5"/>
                <w:sz w:val="21"/>
                <w:highlight w:val="none"/>
                <w:lang w:eastAsia="zh-CN"/>
              </w:rPr>
            </w:pPr>
          </w:p>
        </w:tc>
      </w:tr>
      <w:tr w14:paraId="7921B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314" w:type="dxa"/>
            <w:vMerge w:val="restart"/>
            <w:tcBorders>
              <w:top w:val="single" w:color="auto" w:sz="4" w:space="0"/>
              <w:left w:val="single" w:color="auto" w:sz="12" w:space="0"/>
              <w:bottom w:val="single" w:color="auto" w:sz="4" w:space="0"/>
              <w:right w:val="single" w:color="auto" w:sz="4" w:space="0"/>
            </w:tcBorders>
            <w:vAlign w:val="center"/>
          </w:tcPr>
          <w:p w14:paraId="3CBD8FF6">
            <w:pPr>
              <w:pStyle w:val="41"/>
              <w:snapToGrid w:val="0"/>
              <w:spacing w:before="0" w:line="240" w:lineRule="auto"/>
              <w:ind w:left="0" w:leftChars="0" w:right="0" w:rightChars="0" w:firstLine="0" w:firstLineChars="0"/>
              <w:jc w:val="center"/>
              <w:rPr>
                <w:rFonts w:hint="eastAsia" w:ascii="仿宋" w:hAnsi="仿宋" w:eastAsia="仿宋" w:cs="仿宋"/>
                <w:b w:val="0"/>
                <w:bCs/>
                <w:sz w:val="21"/>
                <w:highlight w:val="none"/>
                <w:lang w:val="en-US" w:eastAsia="zh-CN"/>
              </w:rPr>
            </w:pPr>
            <w:r>
              <w:rPr>
                <w:rFonts w:hint="eastAsia" w:ascii="仿宋" w:hAnsi="仿宋" w:eastAsia="仿宋" w:cs="仿宋"/>
                <w:b w:val="0"/>
                <w:bCs/>
                <w:spacing w:val="-1"/>
                <w:sz w:val="21"/>
                <w:highlight w:val="none"/>
                <w:lang w:val="en-US" w:eastAsia="zh-CN"/>
              </w:rPr>
              <w:t>财务核算</w:t>
            </w:r>
          </w:p>
        </w:tc>
        <w:tc>
          <w:tcPr>
            <w:tcW w:w="3736" w:type="dxa"/>
            <w:tcBorders>
              <w:top w:val="single" w:color="auto" w:sz="4" w:space="0"/>
              <w:left w:val="single" w:color="auto" w:sz="4" w:space="0"/>
              <w:bottom w:val="single" w:color="auto" w:sz="4" w:space="0"/>
              <w:right w:val="single" w:color="auto" w:sz="4" w:space="0"/>
            </w:tcBorders>
            <w:vAlign w:val="center"/>
          </w:tcPr>
          <w:p w14:paraId="4F48AA5B">
            <w:pPr>
              <w:pStyle w:val="41"/>
              <w:snapToGrid w:val="0"/>
              <w:spacing w:before="0" w:line="240" w:lineRule="auto"/>
              <w:ind w:left="0" w:leftChars="0" w:right="0" w:rightChars="0" w:firstLine="0" w:firstLineChars="0"/>
              <w:jc w:val="center"/>
              <w:rPr>
                <w:rFonts w:hint="eastAsia" w:ascii="仿宋" w:hAnsi="仿宋" w:eastAsia="仿宋" w:cs="仿宋"/>
                <w:b w:val="0"/>
                <w:bCs/>
                <w:spacing w:val="-2"/>
                <w:sz w:val="21"/>
                <w:highlight w:val="none"/>
              </w:rPr>
            </w:pPr>
            <w:r>
              <w:rPr>
                <w:rFonts w:hint="eastAsia" w:ascii="仿宋" w:hAnsi="仿宋" w:eastAsia="仿宋" w:cs="仿宋"/>
                <w:b w:val="0"/>
                <w:bCs/>
                <w:spacing w:val="-2"/>
                <w:sz w:val="21"/>
                <w:highlight w:val="none"/>
              </w:rPr>
              <w:t>总账</w:t>
            </w:r>
          </w:p>
        </w:tc>
        <w:tc>
          <w:tcPr>
            <w:tcW w:w="1905" w:type="dxa"/>
            <w:vMerge w:val="restart"/>
            <w:tcBorders>
              <w:top w:val="single" w:color="auto" w:sz="4" w:space="0"/>
              <w:left w:val="single" w:color="auto" w:sz="4" w:space="0"/>
              <w:bottom w:val="single" w:color="auto" w:sz="4" w:space="0"/>
              <w:right w:val="single" w:color="auto" w:sz="12" w:space="0"/>
            </w:tcBorders>
            <w:vAlign w:val="center"/>
          </w:tcPr>
          <w:p w14:paraId="430A31B5">
            <w:pPr>
              <w:pStyle w:val="41"/>
              <w:snapToGrid w:val="0"/>
              <w:spacing w:before="0" w:line="240" w:lineRule="auto"/>
              <w:ind w:left="0" w:leftChars="0" w:right="0" w:rightChars="0" w:firstLine="0" w:firstLineChars="0"/>
              <w:rPr>
                <w:rFonts w:hint="eastAsia" w:ascii="仿宋" w:hAnsi="仿宋" w:eastAsia="仿宋" w:cs="仿宋"/>
                <w:b w:val="0"/>
                <w:bCs/>
                <w:sz w:val="21"/>
                <w:highlight w:val="none"/>
                <w:lang w:val="en-US" w:eastAsia="zh-CN"/>
              </w:rPr>
            </w:pPr>
            <w:r>
              <w:rPr>
                <w:rFonts w:hint="eastAsia" w:ascii="仿宋" w:hAnsi="仿宋" w:eastAsia="仿宋" w:cs="仿宋"/>
                <w:b w:val="0"/>
                <w:bCs/>
                <w:sz w:val="21"/>
                <w:highlight w:val="none"/>
                <w:lang w:val="en-US" w:eastAsia="zh-CN"/>
              </w:rPr>
              <w:t>60</w:t>
            </w:r>
          </w:p>
        </w:tc>
      </w:tr>
      <w:tr w14:paraId="246D5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314" w:type="dxa"/>
            <w:vMerge w:val="continue"/>
            <w:tcBorders>
              <w:top w:val="single" w:color="auto" w:sz="4" w:space="0"/>
              <w:left w:val="single" w:color="auto" w:sz="12" w:space="0"/>
              <w:bottom w:val="single" w:color="auto" w:sz="4" w:space="0"/>
              <w:right w:val="single" w:color="auto" w:sz="4" w:space="0"/>
            </w:tcBorders>
            <w:vAlign w:val="center"/>
          </w:tcPr>
          <w:p w14:paraId="032CA8F1">
            <w:pPr>
              <w:pStyle w:val="41"/>
              <w:snapToGrid w:val="0"/>
              <w:spacing w:before="0" w:line="240" w:lineRule="auto"/>
              <w:ind w:left="0" w:leftChars="0" w:right="0" w:rightChars="0" w:firstLine="0" w:firstLineChars="0"/>
              <w:jc w:val="left"/>
              <w:rPr>
                <w:rFonts w:hint="eastAsia" w:ascii="仿宋" w:hAnsi="仿宋" w:eastAsia="仿宋" w:cs="仿宋"/>
                <w:b w:val="0"/>
                <w:bCs/>
                <w:spacing w:val="-1"/>
                <w:sz w:val="21"/>
                <w:highlight w:val="none"/>
              </w:rPr>
            </w:pPr>
          </w:p>
        </w:tc>
        <w:tc>
          <w:tcPr>
            <w:tcW w:w="3736" w:type="dxa"/>
            <w:tcBorders>
              <w:top w:val="single" w:color="auto" w:sz="4" w:space="0"/>
              <w:left w:val="single" w:color="auto" w:sz="4" w:space="0"/>
              <w:bottom w:val="single" w:color="auto" w:sz="4" w:space="0"/>
              <w:right w:val="single" w:color="auto" w:sz="4" w:space="0"/>
            </w:tcBorders>
            <w:vAlign w:val="center"/>
          </w:tcPr>
          <w:p w14:paraId="33B130F2">
            <w:pPr>
              <w:pStyle w:val="41"/>
              <w:snapToGrid w:val="0"/>
              <w:spacing w:before="0" w:line="240" w:lineRule="auto"/>
              <w:ind w:left="0" w:leftChars="0" w:right="0" w:rightChars="0" w:firstLine="0" w:firstLineChars="0"/>
              <w:jc w:val="center"/>
              <w:rPr>
                <w:rFonts w:hint="eastAsia" w:ascii="仿宋" w:hAnsi="仿宋" w:eastAsia="仿宋" w:cs="仿宋"/>
                <w:b w:val="0"/>
                <w:bCs/>
                <w:spacing w:val="-2"/>
                <w:sz w:val="21"/>
                <w:highlight w:val="none"/>
                <w:lang w:val="en-US" w:eastAsia="zh-CN"/>
              </w:rPr>
            </w:pPr>
            <w:r>
              <w:rPr>
                <w:rFonts w:hint="eastAsia" w:ascii="仿宋" w:hAnsi="仿宋" w:eastAsia="仿宋" w:cs="仿宋"/>
                <w:b w:val="0"/>
                <w:bCs/>
                <w:spacing w:val="-2"/>
                <w:sz w:val="21"/>
                <w:highlight w:val="none"/>
                <w:lang w:val="en-US" w:eastAsia="zh-CN"/>
              </w:rPr>
              <w:t>固定资产</w:t>
            </w:r>
          </w:p>
        </w:tc>
        <w:tc>
          <w:tcPr>
            <w:tcW w:w="1905" w:type="dxa"/>
            <w:vMerge w:val="continue"/>
            <w:tcBorders>
              <w:top w:val="single" w:color="auto" w:sz="4" w:space="0"/>
              <w:left w:val="single" w:color="auto" w:sz="4" w:space="0"/>
              <w:bottom w:val="single" w:color="auto" w:sz="4" w:space="0"/>
              <w:right w:val="single" w:color="auto" w:sz="12" w:space="0"/>
            </w:tcBorders>
            <w:vAlign w:val="center"/>
          </w:tcPr>
          <w:p w14:paraId="73B9C647">
            <w:pPr>
              <w:pStyle w:val="41"/>
              <w:snapToGrid w:val="0"/>
              <w:spacing w:before="0" w:line="240" w:lineRule="auto"/>
              <w:ind w:left="0" w:leftChars="0" w:right="0" w:rightChars="0" w:firstLine="0" w:firstLineChars="0"/>
              <w:rPr>
                <w:rFonts w:hint="eastAsia" w:ascii="仿宋" w:hAnsi="仿宋" w:eastAsia="仿宋" w:cs="仿宋"/>
                <w:b w:val="0"/>
                <w:bCs/>
                <w:spacing w:val="-5"/>
                <w:sz w:val="21"/>
                <w:highlight w:val="none"/>
                <w:lang w:eastAsia="zh-CN"/>
              </w:rPr>
            </w:pPr>
          </w:p>
        </w:tc>
      </w:tr>
      <w:tr w14:paraId="40874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314" w:type="dxa"/>
            <w:vMerge w:val="continue"/>
            <w:tcBorders>
              <w:top w:val="single" w:color="auto" w:sz="4" w:space="0"/>
              <w:left w:val="single" w:color="auto" w:sz="12" w:space="0"/>
              <w:bottom w:val="single" w:color="auto" w:sz="4" w:space="0"/>
              <w:right w:val="single" w:color="auto" w:sz="4" w:space="0"/>
            </w:tcBorders>
            <w:vAlign w:val="center"/>
          </w:tcPr>
          <w:p w14:paraId="797E57E4">
            <w:pPr>
              <w:snapToGrid w:val="0"/>
              <w:spacing w:line="240" w:lineRule="auto"/>
              <w:ind w:left="0" w:leftChars="0" w:right="0" w:rightChars="0" w:firstLine="0" w:firstLineChars="0"/>
              <w:jc w:val="left"/>
              <w:rPr>
                <w:rFonts w:hint="eastAsia" w:ascii="仿宋" w:hAnsi="仿宋" w:eastAsia="仿宋" w:cs="仿宋"/>
                <w:b w:val="0"/>
                <w:bCs/>
                <w:sz w:val="21"/>
                <w:szCs w:val="2"/>
                <w:highlight w:val="none"/>
              </w:rPr>
            </w:pPr>
          </w:p>
        </w:tc>
        <w:tc>
          <w:tcPr>
            <w:tcW w:w="3736" w:type="dxa"/>
            <w:tcBorders>
              <w:top w:val="single" w:color="auto" w:sz="4" w:space="0"/>
              <w:left w:val="single" w:color="auto" w:sz="4" w:space="0"/>
              <w:bottom w:val="single" w:color="auto" w:sz="4" w:space="0"/>
              <w:right w:val="single" w:color="auto" w:sz="4" w:space="0"/>
            </w:tcBorders>
            <w:vAlign w:val="center"/>
          </w:tcPr>
          <w:p w14:paraId="70DE554C">
            <w:pPr>
              <w:pStyle w:val="41"/>
              <w:snapToGrid w:val="0"/>
              <w:spacing w:line="240" w:lineRule="auto"/>
              <w:ind w:left="0" w:leftChars="0" w:right="0" w:rightChars="0" w:firstLine="0" w:firstLineChars="0"/>
              <w:jc w:val="center"/>
              <w:rPr>
                <w:rFonts w:hint="eastAsia" w:ascii="仿宋" w:hAnsi="仿宋" w:eastAsia="仿宋" w:cs="仿宋"/>
                <w:b w:val="0"/>
                <w:bCs/>
                <w:spacing w:val="-2"/>
                <w:sz w:val="21"/>
                <w:highlight w:val="none"/>
              </w:rPr>
            </w:pPr>
            <w:r>
              <w:rPr>
                <w:rFonts w:hint="eastAsia" w:ascii="仿宋" w:hAnsi="仿宋" w:eastAsia="仿宋" w:cs="仿宋"/>
                <w:b w:val="0"/>
                <w:bCs/>
                <w:spacing w:val="-2"/>
                <w:sz w:val="21"/>
                <w:highlight w:val="none"/>
              </w:rPr>
              <w:t>费用核算</w:t>
            </w:r>
          </w:p>
        </w:tc>
        <w:tc>
          <w:tcPr>
            <w:tcW w:w="1905" w:type="dxa"/>
            <w:vMerge w:val="continue"/>
            <w:tcBorders>
              <w:top w:val="single" w:color="auto" w:sz="4" w:space="0"/>
              <w:left w:val="single" w:color="auto" w:sz="4" w:space="0"/>
              <w:bottom w:val="single" w:color="auto" w:sz="4" w:space="0"/>
              <w:right w:val="single" w:color="auto" w:sz="12" w:space="0"/>
            </w:tcBorders>
            <w:vAlign w:val="center"/>
          </w:tcPr>
          <w:p w14:paraId="1C7B4809">
            <w:pPr>
              <w:snapToGrid w:val="0"/>
              <w:spacing w:line="240" w:lineRule="auto"/>
              <w:ind w:left="0" w:leftChars="0" w:right="0" w:rightChars="0" w:firstLine="0" w:firstLineChars="0"/>
              <w:jc w:val="center"/>
              <w:rPr>
                <w:rFonts w:hint="eastAsia" w:ascii="仿宋" w:hAnsi="仿宋" w:eastAsia="仿宋" w:cs="仿宋"/>
                <w:b w:val="0"/>
                <w:bCs/>
                <w:sz w:val="21"/>
                <w:szCs w:val="2"/>
                <w:highlight w:val="none"/>
              </w:rPr>
            </w:pPr>
          </w:p>
        </w:tc>
      </w:tr>
      <w:tr w14:paraId="0DD25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314" w:type="dxa"/>
            <w:vMerge w:val="continue"/>
            <w:tcBorders>
              <w:top w:val="single" w:color="auto" w:sz="4" w:space="0"/>
              <w:left w:val="single" w:color="auto" w:sz="12" w:space="0"/>
              <w:bottom w:val="single" w:color="auto" w:sz="4" w:space="0"/>
              <w:right w:val="single" w:color="auto" w:sz="4" w:space="0"/>
            </w:tcBorders>
            <w:vAlign w:val="center"/>
          </w:tcPr>
          <w:p w14:paraId="2174AD3A">
            <w:pPr>
              <w:snapToGrid w:val="0"/>
              <w:spacing w:line="240" w:lineRule="auto"/>
              <w:ind w:left="0" w:leftChars="0" w:right="0" w:rightChars="0" w:firstLine="0" w:firstLineChars="0"/>
              <w:jc w:val="left"/>
              <w:rPr>
                <w:rFonts w:hint="eastAsia" w:ascii="仿宋" w:hAnsi="仿宋" w:eastAsia="仿宋" w:cs="仿宋"/>
                <w:b w:val="0"/>
                <w:bCs/>
                <w:sz w:val="21"/>
                <w:szCs w:val="2"/>
                <w:highlight w:val="none"/>
              </w:rPr>
            </w:pPr>
          </w:p>
        </w:tc>
        <w:tc>
          <w:tcPr>
            <w:tcW w:w="3736" w:type="dxa"/>
            <w:tcBorders>
              <w:top w:val="single" w:color="auto" w:sz="4" w:space="0"/>
              <w:left w:val="single" w:color="auto" w:sz="4" w:space="0"/>
              <w:bottom w:val="single" w:color="auto" w:sz="4" w:space="0"/>
              <w:right w:val="single" w:color="auto" w:sz="4" w:space="0"/>
            </w:tcBorders>
            <w:vAlign w:val="center"/>
          </w:tcPr>
          <w:p w14:paraId="1426602A">
            <w:pPr>
              <w:pStyle w:val="41"/>
              <w:snapToGrid w:val="0"/>
              <w:spacing w:line="240" w:lineRule="auto"/>
              <w:ind w:left="0" w:leftChars="0" w:right="0" w:rightChars="0" w:firstLine="0" w:firstLineChars="0"/>
              <w:jc w:val="center"/>
              <w:rPr>
                <w:rFonts w:hint="eastAsia" w:ascii="仿宋" w:hAnsi="仿宋" w:eastAsia="仿宋" w:cs="仿宋"/>
                <w:b w:val="0"/>
                <w:bCs/>
                <w:spacing w:val="-2"/>
                <w:sz w:val="21"/>
                <w:highlight w:val="none"/>
              </w:rPr>
            </w:pPr>
            <w:r>
              <w:rPr>
                <w:rFonts w:hint="eastAsia" w:ascii="仿宋" w:hAnsi="仿宋" w:eastAsia="仿宋" w:cs="仿宋"/>
                <w:b w:val="0"/>
                <w:bCs/>
                <w:spacing w:val="-2"/>
                <w:sz w:val="21"/>
                <w:highlight w:val="none"/>
              </w:rPr>
              <w:t>出纳</w:t>
            </w:r>
          </w:p>
        </w:tc>
        <w:tc>
          <w:tcPr>
            <w:tcW w:w="1905" w:type="dxa"/>
            <w:vMerge w:val="continue"/>
            <w:tcBorders>
              <w:top w:val="single" w:color="auto" w:sz="4" w:space="0"/>
              <w:left w:val="single" w:color="auto" w:sz="4" w:space="0"/>
              <w:bottom w:val="single" w:color="auto" w:sz="4" w:space="0"/>
              <w:right w:val="single" w:color="auto" w:sz="12" w:space="0"/>
            </w:tcBorders>
            <w:vAlign w:val="center"/>
          </w:tcPr>
          <w:p w14:paraId="1F43F9C9">
            <w:pPr>
              <w:snapToGrid w:val="0"/>
              <w:spacing w:line="240" w:lineRule="auto"/>
              <w:ind w:left="0" w:leftChars="0" w:right="0" w:rightChars="0" w:firstLine="0" w:firstLineChars="0"/>
              <w:jc w:val="center"/>
              <w:rPr>
                <w:rFonts w:hint="eastAsia" w:ascii="仿宋" w:hAnsi="仿宋" w:eastAsia="仿宋" w:cs="仿宋"/>
                <w:b w:val="0"/>
                <w:bCs/>
                <w:sz w:val="21"/>
                <w:szCs w:val="2"/>
                <w:highlight w:val="none"/>
              </w:rPr>
            </w:pPr>
          </w:p>
        </w:tc>
      </w:tr>
      <w:tr w14:paraId="5EBF9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314" w:type="dxa"/>
            <w:vMerge w:val="continue"/>
            <w:tcBorders>
              <w:top w:val="single" w:color="auto" w:sz="4" w:space="0"/>
              <w:left w:val="single" w:color="auto" w:sz="12" w:space="0"/>
              <w:bottom w:val="single" w:color="auto" w:sz="4" w:space="0"/>
              <w:right w:val="single" w:color="auto" w:sz="4" w:space="0"/>
            </w:tcBorders>
            <w:vAlign w:val="center"/>
          </w:tcPr>
          <w:p w14:paraId="591E8D03">
            <w:pPr>
              <w:snapToGrid w:val="0"/>
              <w:spacing w:line="240" w:lineRule="auto"/>
              <w:ind w:left="0" w:leftChars="0" w:right="0" w:rightChars="0" w:firstLine="0" w:firstLineChars="0"/>
              <w:jc w:val="left"/>
              <w:rPr>
                <w:rFonts w:hint="eastAsia" w:ascii="仿宋" w:hAnsi="仿宋" w:eastAsia="仿宋" w:cs="仿宋"/>
                <w:b w:val="0"/>
                <w:bCs/>
                <w:sz w:val="21"/>
                <w:szCs w:val="2"/>
                <w:highlight w:val="none"/>
              </w:rPr>
            </w:pPr>
          </w:p>
        </w:tc>
        <w:tc>
          <w:tcPr>
            <w:tcW w:w="3736" w:type="dxa"/>
            <w:tcBorders>
              <w:top w:val="single" w:color="auto" w:sz="4" w:space="0"/>
              <w:left w:val="single" w:color="auto" w:sz="4" w:space="0"/>
              <w:bottom w:val="single" w:color="auto" w:sz="4" w:space="0"/>
              <w:right w:val="single" w:color="auto" w:sz="4" w:space="0"/>
            </w:tcBorders>
            <w:vAlign w:val="center"/>
          </w:tcPr>
          <w:p w14:paraId="04148E7A">
            <w:pPr>
              <w:pStyle w:val="41"/>
              <w:snapToGrid w:val="0"/>
              <w:spacing w:line="240" w:lineRule="auto"/>
              <w:ind w:left="0" w:leftChars="0" w:right="0" w:rightChars="0" w:firstLine="0" w:firstLineChars="0"/>
              <w:jc w:val="center"/>
              <w:rPr>
                <w:rFonts w:hint="eastAsia" w:ascii="仿宋" w:hAnsi="仿宋" w:eastAsia="仿宋" w:cs="仿宋"/>
                <w:b w:val="0"/>
                <w:bCs/>
                <w:spacing w:val="-2"/>
                <w:sz w:val="21"/>
                <w:highlight w:val="none"/>
              </w:rPr>
            </w:pPr>
            <w:r>
              <w:rPr>
                <w:rFonts w:hint="eastAsia" w:ascii="仿宋" w:hAnsi="仿宋" w:eastAsia="仿宋" w:cs="仿宋"/>
                <w:b w:val="0"/>
                <w:bCs/>
                <w:spacing w:val="-2"/>
                <w:sz w:val="21"/>
                <w:highlight w:val="none"/>
              </w:rPr>
              <w:t>应收</w:t>
            </w:r>
          </w:p>
        </w:tc>
        <w:tc>
          <w:tcPr>
            <w:tcW w:w="1905" w:type="dxa"/>
            <w:vMerge w:val="continue"/>
            <w:tcBorders>
              <w:top w:val="single" w:color="auto" w:sz="4" w:space="0"/>
              <w:left w:val="single" w:color="auto" w:sz="4" w:space="0"/>
              <w:bottom w:val="single" w:color="auto" w:sz="4" w:space="0"/>
              <w:right w:val="single" w:color="auto" w:sz="12" w:space="0"/>
            </w:tcBorders>
            <w:vAlign w:val="center"/>
          </w:tcPr>
          <w:p w14:paraId="23AA7E64">
            <w:pPr>
              <w:snapToGrid w:val="0"/>
              <w:spacing w:line="240" w:lineRule="auto"/>
              <w:ind w:left="0" w:leftChars="0" w:right="0" w:rightChars="0" w:firstLine="0" w:firstLineChars="0"/>
              <w:jc w:val="center"/>
              <w:rPr>
                <w:rFonts w:hint="eastAsia" w:ascii="仿宋" w:hAnsi="仿宋" w:eastAsia="仿宋" w:cs="仿宋"/>
                <w:b w:val="0"/>
                <w:bCs/>
                <w:sz w:val="21"/>
                <w:szCs w:val="2"/>
                <w:highlight w:val="none"/>
              </w:rPr>
            </w:pPr>
          </w:p>
        </w:tc>
      </w:tr>
      <w:tr w14:paraId="4A8BE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314" w:type="dxa"/>
            <w:vMerge w:val="continue"/>
            <w:tcBorders>
              <w:top w:val="single" w:color="auto" w:sz="4" w:space="0"/>
              <w:left w:val="single" w:color="auto" w:sz="12" w:space="0"/>
              <w:bottom w:val="single" w:color="auto" w:sz="4" w:space="0"/>
              <w:right w:val="single" w:color="auto" w:sz="4" w:space="0"/>
            </w:tcBorders>
            <w:vAlign w:val="center"/>
          </w:tcPr>
          <w:p w14:paraId="765B805C">
            <w:pPr>
              <w:snapToGrid w:val="0"/>
              <w:spacing w:line="240" w:lineRule="auto"/>
              <w:ind w:left="0" w:leftChars="0" w:right="0" w:rightChars="0" w:firstLine="0" w:firstLineChars="0"/>
              <w:jc w:val="left"/>
              <w:rPr>
                <w:rFonts w:hint="eastAsia" w:ascii="仿宋" w:hAnsi="仿宋" w:eastAsia="仿宋" w:cs="仿宋"/>
                <w:b w:val="0"/>
                <w:bCs/>
                <w:sz w:val="21"/>
                <w:szCs w:val="2"/>
                <w:highlight w:val="none"/>
              </w:rPr>
            </w:pPr>
          </w:p>
        </w:tc>
        <w:tc>
          <w:tcPr>
            <w:tcW w:w="3736" w:type="dxa"/>
            <w:tcBorders>
              <w:top w:val="single" w:color="auto" w:sz="4" w:space="0"/>
              <w:left w:val="single" w:color="auto" w:sz="4" w:space="0"/>
              <w:bottom w:val="single" w:color="auto" w:sz="4" w:space="0"/>
              <w:right w:val="single" w:color="auto" w:sz="4" w:space="0"/>
            </w:tcBorders>
            <w:vAlign w:val="center"/>
          </w:tcPr>
          <w:p w14:paraId="2F585012">
            <w:pPr>
              <w:pStyle w:val="41"/>
              <w:snapToGrid w:val="0"/>
              <w:spacing w:line="240" w:lineRule="auto"/>
              <w:ind w:left="0" w:leftChars="0" w:right="0" w:rightChars="0" w:firstLine="0" w:firstLineChars="0"/>
              <w:jc w:val="center"/>
              <w:rPr>
                <w:rFonts w:hint="eastAsia" w:ascii="仿宋" w:hAnsi="仿宋" w:eastAsia="仿宋" w:cs="仿宋"/>
                <w:b w:val="0"/>
                <w:bCs/>
                <w:spacing w:val="-2"/>
                <w:sz w:val="21"/>
                <w:highlight w:val="none"/>
              </w:rPr>
            </w:pPr>
            <w:r>
              <w:rPr>
                <w:rFonts w:hint="eastAsia" w:ascii="仿宋" w:hAnsi="仿宋" w:eastAsia="仿宋" w:cs="仿宋"/>
                <w:b w:val="0"/>
                <w:bCs/>
                <w:spacing w:val="-2"/>
                <w:sz w:val="21"/>
                <w:highlight w:val="none"/>
              </w:rPr>
              <w:t>应付</w:t>
            </w:r>
          </w:p>
        </w:tc>
        <w:tc>
          <w:tcPr>
            <w:tcW w:w="1905" w:type="dxa"/>
            <w:vMerge w:val="continue"/>
            <w:tcBorders>
              <w:top w:val="single" w:color="auto" w:sz="4" w:space="0"/>
              <w:left w:val="single" w:color="auto" w:sz="4" w:space="0"/>
              <w:bottom w:val="single" w:color="auto" w:sz="4" w:space="0"/>
              <w:right w:val="single" w:color="auto" w:sz="12" w:space="0"/>
            </w:tcBorders>
            <w:vAlign w:val="center"/>
          </w:tcPr>
          <w:p w14:paraId="6A0485BF">
            <w:pPr>
              <w:snapToGrid w:val="0"/>
              <w:spacing w:line="240" w:lineRule="auto"/>
              <w:ind w:left="0" w:leftChars="0" w:right="0" w:rightChars="0" w:firstLine="0" w:firstLineChars="0"/>
              <w:jc w:val="center"/>
              <w:rPr>
                <w:rFonts w:hint="eastAsia" w:ascii="仿宋" w:hAnsi="仿宋" w:eastAsia="仿宋" w:cs="仿宋"/>
                <w:b w:val="0"/>
                <w:bCs/>
                <w:sz w:val="21"/>
                <w:szCs w:val="2"/>
                <w:highlight w:val="none"/>
              </w:rPr>
            </w:pPr>
          </w:p>
        </w:tc>
      </w:tr>
      <w:tr w14:paraId="36451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314" w:type="dxa"/>
            <w:vMerge w:val="continue"/>
            <w:tcBorders>
              <w:top w:val="single" w:color="auto" w:sz="4" w:space="0"/>
              <w:left w:val="single" w:color="auto" w:sz="12" w:space="0"/>
              <w:bottom w:val="single" w:color="auto" w:sz="4" w:space="0"/>
              <w:right w:val="single" w:color="auto" w:sz="4" w:space="0"/>
            </w:tcBorders>
            <w:vAlign w:val="center"/>
          </w:tcPr>
          <w:p w14:paraId="7535070D">
            <w:pPr>
              <w:snapToGrid w:val="0"/>
              <w:spacing w:line="240" w:lineRule="auto"/>
              <w:ind w:left="0" w:leftChars="0" w:right="0" w:rightChars="0" w:firstLine="0" w:firstLineChars="0"/>
              <w:jc w:val="left"/>
              <w:rPr>
                <w:rFonts w:hint="eastAsia" w:ascii="仿宋" w:hAnsi="仿宋" w:eastAsia="仿宋" w:cs="仿宋"/>
                <w:b w:val="0"/>
                <w:bCs/>
                <w:sz w:val="21"/>
                <w:szCs w:val="2"/>
                <w:highlight w:val="none"/>
              </w:rPr>
            </w:pPr>
          </w:p>
        </w:tc>
        <w:tc>
          <w:tcPr>
            <w:tcW w:w="3736" w:type="dxa"/>
            <w:tcBorders>
              <w:top w:val="single" w:color="auto" w:sz="4" w:space="0"/>
              <w:left w:val="single" w:color="auto" w:sz="4" w:space="0"/>
              <w:bottom w:val="single" w:color="auto" w:sz="4" w:space="0"/>
              <w:right w:val="single" w:color="auto" w:sz="4" w:space="0"/>
            </w:tcBorders>
            <w:vAlign w:val="center"/>
          </w:tcPr>
          <w:p w14:paraId="34B23AAD">
            <w:pPr>
              <w:pStyle w:val="41"/>
              <w:snapToGrid w:val="0"/>
              <w:spacing w:line="240" w:lineRule="auto"/>
              <w:ind w:left="0" w:leftChars="0" w:right="0" w:rightChars="0" w:firstLine="0" w:firstLineChars="0"/>
              <w:jc w:val="center"/>
              <w:rPr>
                <w:rFonts w:hint="eastAsia" w:ascii="仿宋" w:hAnsi="仿宋" w:eastAsia="仿宋" w:cs="仿宋"/>
                <w:b w:val="0"/>
                <w:bCs/>
                <w:spacing w:val="-2"/>
                <w:sz w:val="21"/>
                <w:highlight w:val="none"/>
                <w:lang w:val="en-US" w:eastAsia="zh-CN"/>
              </w:rPr>
            </w:pPr>
            <w:r>
              <w:rPr>
                <w:rFonts w:hint="eastAsia" w:ascii="仿宋" w:hAnsi="仿宋" w:eastAsia="仿宋" w:cs="仿宋"/>
                <w:b w:val="0"/>
                <w:bCs/>
                <w:spacing w:val="-2"/>
                <w:sz w:val="21"/>
                <w:highlight w:val="none"/>
                <w:lang w:val="en-US" w:eastAsia="zh-CN"/>
              </w:rPr>
              <w:t>内部交易对帐</w:t>
            </w:r>
          </w:p>
        </w:tc>
        <w:tc>
          <w:tcPr>
            <w:tcW w:w="1905" w:type="dxa"/>
            <w:vMerge w:val="continue"/>
            <w:tcBorders>
              <w:top w:val="single" w:color="auto" w:sz="4" w:space="0"/>
              <w:left w:val="single" w:color="auto" w:sz="4" w:space="0"/>
              <w:bottom w:val="single" w:color="auto" w:sz="4" w:space="0"/>
              <w:right w:val="single" w:color="auto" w:sz="12" w:space="0"/>
            </w:tcBorders>
            <w:vAlign w:val="center"/>
          </w:tcPr>
          <w:p w14:paraId="2D197833">
            <w:pPr>
              <w:snapToGrid w:val="0"/>
              <w:spacing w:line="240" w:lineRule="auto"/>
              <w:ind w:left="0" w:leftChars="0" w:right="0" w:rightChars="0" w:firstLine="0" w:firstLineChars="0"/>
              <w:jc w:val="center"/>
              <w:rPr>
                <w:rFonts w:hint="eastAsia" w:ascii="仿宋" w:hAnsi="仿宋" w:eastAsia="仿宋" w:cs="仿宋"/>
                <w:b w:val="0"/>
                <w:bCs/>
                <w:sz w:val="21"/>
                <w:szCs w:val="2"/>
                <w:highlight w:val="none"/>
              </w:rPr>
            </w:pPr>
          </w:p>
        </w:tc>
      </w:tr>
      <w:tr w14:paraId="68C8C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314" w:type="dxa"/>
            <w:vMerge w:val="continue"/>
            <w:tcBorders>
              <w:top w:val="single" w:color="auto" w:sz="4" w:space="0"/>
              <w:left w:val="single" w:color="auto" w:sz="12" w:space="0"/>
              <w:bottom w:val="single" w:color="auto" w:sz="4" w:space="0"/>
              <w:right w:val="single" w:color="auto" w:sz="4" w:space="0"/>
            </w:tcBorders>
            <w:vAlign w:val="center"/>
          </w:tcPr>
          <w:p w14:paraId="5EA0F223">
            <w:pPr>
              <w:snapToGrid w:val="0"/>
              <w:spacing w:line="240" w:lineRule="auto"/>
              <w:ind w:left="0" w:leftChars="0" w:right="0" w:rightChars="0" w:firstLine="0" w:firstLineChars="0"/>
              <w:jc w:val="center"/>
              <w:rPr>
                <w:rFonts w:hint="eastAsia" w:ascii="仿宋" w:hAnsi="仿宋" w:eastAsia="仿宋" w:cs="仿宋"/>
                <w:b w:val="0"/>
                <w:bCs/>
                <w:sz w:val="21"/>
                <w:szCs w:val="2"/>
                <w:highlight w:val="none"/>
              </w:rPr>
            </w:pPr>
          </w:p>
        </w:tc>
        <w:tc>
          <w:tcPr>
            <w:tcW w:w="3736" w:type="dxa"/>
            <w:tcBorders>
              <w:top w:val="single" w:color="auto" w:sz="4" w:space="0"/>
              <w:left w:val="single" w:color="auto" w:sz="4" w:space="0"/>
              <w:bottom w:val="single" w:color="auto" w:sz="4" w:space="0"/>
              <w:right w:val="single" w:color="auto" w:sz="4" w:space="0"/>
            </w:tcBorders>
            <w:vAlign w:val="center"/>
          </w:tcPr>
          <w:p w14:paraId="0E5C7443">
            <w:pPr>
              <w:pStyle w:val="41"/>
              <w:snapToGrid w:val="0"/>
              <w:spacing w:line="240" w:lineRule="auto"/>
              <w:ind w:left="0" w:leftChars="0" w:right="0" w:rightChars="0" w:firstLine="0" w:firstLineChars="0"/>
              <w:jc w:val="center"/>
              <w:rPr>
                <w:rFonts w:hint="eastAsia" w:ascii="仿宋" w:hAnsi="仿宋" w:eastAsia="仿宋" w:cs="仿宋"/>
                <w:b w:val="0"/>
                <w:bCs/>
                <w:spacing w:val="-2"/>
                <w:sz w:val="21"/>
                <w:highlight w:val="none"/>
                <w:lang w:eastAsia="zh-CN"/>
              </w:rPr>
            </w:pPr>
            <w:r>
              <w:rPr>
                <w:rFonts w:hint="eastAsia" w:ascii="仿宋" w:hAnsi="仿宋" w:eastAsia="仿宋" w:cs="仿宋"/>
                <w:b w:val="0"/>
                <w:bCs/>
                <w:spacing w:val="-2"/>
                <w:sz w:val="21"/>
                <w:highlight w:val="none"/>
                <w:lang w:val="en-US" w:eastAsia="zh-CN"/>
              </w:rPr>
              <w:t>财务报表</w:t>
            </w:r>
          </w:p>
        </w:tc>
        <w:tc>
          <w:tcPr>
            <w:tcW w:w="1905" w:type="dxa"/>
            <w:vMerge w:val="continue"/>
            <w:tcBorders>
              <w:top w:val="single" w:color="auto" w:sz="4" w:space="0"/>
              <w:left w:val="single" w:color="auto" w:sz="4" w:space="0"/>
              <w:bottom w:val="single" w:color="auto" w:sz="4" w:space="0"/>
              <w:right w:val="single" w:color="auto" w:sz="12" w:space="0"/>
            </w:tcBorders>
            <w:vAlign w:val="center"/>
          </w:tcPr>
          <w:p w14:paraId="0BE4EF9B">
            <w:pPr>
              <w:snapToGrid w:val="0"/>
              <w:spacing w:line="240" w:lineRule="auto"/>
              <w:ind w:left="0" w:leftChars="0" w:right="0" w:rightChars="0" w:firstLine="0" w:firstLineChars="0"/>
              <w:jc w:val="center"/>
              <w:rPr>
                <w:rFonts w:hint="eastAsia" w:ascii="仿宋" w:hAnsi="仿宋" w:eastAsia="仿宋" w:cs="仿宋"/>
                <w:b w:val="0"/>
                <w:bCs/>
                <w:sz w:val="21"/>
                <w:szCs w:val="2"/>
                <w:highlight w:val="none"/>
              </w:rPr>
            </w:pPr>
          </w:p>
        </w:tc>
      </w:tr>
      <w:tr w14:paraId="15B4C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314" w:type="dxa"/>
            <w:vMerge w:val="restart"/>
            <w:tcBorders>
              <w:top w:val="single" w:color="auto" w:sz="4" w:space="0"/>
              <w:left w:val="single" w:color="auto" w:sz="12" w:space="0"/>
              <w:bottom w:val="single" w:color="auto" w:sz="4" w:space="0"/>
              <w:right w:val="single" w:color="auto" w:sz="4" w:space="0"/>
            </w:tcBorders>
            <w:vAlign w:val="center"/>
          </w:tcPr>
          <w:p w14:paraId="019A56DA">
            <w:pPr>
              <w:snapToGrid w:val="0"/>
              <w:spacing w:line="240" w:lineRule="auto"/>
              <w:ind w:left="0" w:leftChars="0" w:right="0" w:rightChars="0" w:firstLine="0" w:firstLineChars="0"/>
              <w:jc w:val="center"/>
              <w:rPr>
                <w:rFonts w:hint="eastAsia" w:ascii="仿宋" w:hAnsi="仿宋" w:eastAsia="仿宋" w:cs="仿宋"/>
                <w:b w:val="0"/>
                <w:bCs/>
                <w:sz w:val="21"/>
                <w:szCs w:val="22"/>
                <w:highlight w:val="none"/>
                <w:lang w:val="en-US" w:eastAsia="zh-CN" w:bidi="ar-SA"/>
              </w:rPr>
            </w:pPr>
            <w:r>
              <w:rPr>
                <w:rFonts w:hint="eastAsia" w:ascii="仿宋" w:hAnsi="仿宋" w:eastAsia="仿宋" w:cs="仿宋"/>
                <w:b w:val="0"/>
                <w:bCs/>
                <w:sz w:val="21"/>
                <w:szCs w:val="22"/>
                <w:highlight w:val="none"/>
                <w:lang w:val="en-US" w:eastAsia="zh-CN" w:bidi="ar-SA"/>
              </w:rPr>
              <w:t>报表及财务分析</w:t>
            </w:r>
          </w:p>
        </w:tc>
        <w:tc>
          <w:tcPr>
            <w:tcW w:w="3736" w:type="dxa"/>
            <w:tcBorders>
              <w:top w:val="single" w:color="auto" w:sz="4" w:space="0"/>
              <w:left w:val="single" w:color="auto" w:sz="4" w:space="0"/>
              <w:bottom w:val="single" w:color="auto" w:sz="4" w:space="0"/>
              <w:right w:val="single" w:color="auto" w:sz="4" w:space="0"/>
            </w:tcBorders>
            <w:vAlign w:val="center"/>
          </w:tcPr>
          <w:p w14:paraId="6C2EFCD2">
            <w:pPr>
              <w:pStyle w:val="41"/>
              <w:snapToGrid w:val="0"/>
              <w:spacing w:line="240" w:lineRule="auto"/>
              <w:ind w:left="0" w:leftChars="0" w:right="0" w:rightChars="0" w:firstLine="0" w:firstLineChars="0"/>
              <w:jc w:val="center"/>
              <w:rPr>
                <w:rFonts w:hint="eastAsia" w:ascii="仿宋" w:hAnsi="仿宋" w:eastAsia="仿宋" w:cs="仿宋"/>
                <w:b w:val="0"/>
                <w:bCs/>
                <w:spacing w:val="-2"/>
                <w:sz w:val="21"/>
                <w:highlight w:val="none"/>
                <w:lang w:val="en-US" w:eastAsia="zh-CN"/>
              </w:rPr>
            </w:pPr>
            <w:r>
              <w:rPr>
                <w:rFonts w:hint="eastAsia" w:ascii="仿宋" w:hAnsi="仿宋" w:eastAsia="仿宋" w:cs="仿宋"/>
                <w:b w:val="0"/>
                <w:bCs/>
                <w:spacing w:val="-2"/>
                <w:sz w:val="21"/>
                <w:highlight w:val="none"/>
                <w:lang w:val="en-US" w:eastAsia="zh-CN"/>
              </w:rPr>
              <w:t>合并报表</w:t>
            </w:r>
          </w:p>
        </w:tc>
        <w:tc>
          <w:tcPr>
            <w:tcW w:w="1905" w:type="dxa"/>
            <w:vMerge w:val="continue"/>
            <w:tcBorders>
              <w:top w:val="single" w:color="auto" w:sz="4" w:space="0"/>
              <w:left w:val="single" w:color="auto" w:sz="4" w:space="0"/>
              <w:bottom w:val="single" w:color="auto" w:sz="4" w:space="0"/>
              <w:right w:val="single" w:color="auto" w:sz="12" w:space="0"/>
            </w:tcBorders>
            <w:vAlign w:val="center"/>
          </w:tcPr>
          <w:p w14:paraId="11F8F3A1">
            <w:pPr>
              <w:snapToGrid w:val="0"/>
              <w:spacing w:line="240" w:lineRule="auto"/>
              <w:ind w:left="0" w:leftChars="0" w:right="0" w:rightChars="0" w:firstLine="0" w:firstLineChars="0"/>
              <w:jc w:val="center"/>
              <w:rPr>
                <w:rFonts w:hint="eastAsia" w:ascii="仿宋" w:hAnsi="仿宋" w:eastAsia="仿宋" w:cs="仿宋"/>
                <w:b w:val="0"/>
                <w:bCs/>
                <w:sz w:val="21"/>
                <w:szCs w:val="2"/>
                <w:highlight w:val="none"/>
              </w:rPr>
            </w:pPr>
          </w:p>
        </w:tc>
      </w:tr>
      <w:tr w14:paraId="591E2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314" w:type="dxa"/>
            <w:vMerge w:val="continue"/>
            <w:tcBorders>
              <w:top w:val="single" w:color="auto" w:sz="4" w:space="0"/>
              <w:left w:val="single" w:color="auto" w:sz="12" w:space="0"/>
              <w:bottom w:val="single" w:color="auto" w:sz="4" w:space="0"/>
              <w:right w:val="single" w:color="auto" w:sz="4" w:space="0"/>
            </w:tcBorders>
            <w:vAlign w:val="center"/>
          </w:tcPr>
          <w:p w14:paraId="3A3BFBA7">
            <w:pPr>
              <w:bidi w:val="0"/>
              <w:snapToGrid w:val="0"/>
              <w:spacing w:line="240" w:lineRule="auto"/>
              <w:ind w:left="0" w:leftChars="0" w:right="0" w:rightChars="0" w:firstLine="0" w:firstLineChars="0"/>
              <w:jc w:val="center"/>
              <w:rPr>
                <w:rFonts w:hint="eastAsia" w:ascii="仿宋" w:hAnsi="仿宋" w:eastAsia="仿宋" w:cs="仿宋"/>
                <w:b w:val="0"/>
                <w:bCs/>
                <w:sz w:val="21"/>
                <w:szCs w:val="22"/>
                <w:highlight w:val="none"/>
                <w:lang w:val="en-US" w:eastAsia="zh-CN" w:bidi="ar-SA"/>
              </w:rPr>
            </w:pPr>
          </w:p>
        </w:tc>
        <w:tc>
          <w:tcPr>
            <w:tcW w:w="3736" w:type="dxa"/>
            <w:tcBorders>
              <w:top w:val="single" w:color="auto" w:sz="4" w:space="0"/>
              <w:left w:val="single" w:color="auto" w:sz="4" w:space="0"/>
              <w:bottom w:val="single" w:color="auto" w:sz="4" w:space="0"/>
              <w:right w:val="single" w:color="auto" w:sz="4" w:space="0"/>
            </w:tcBorders>
            <w:vAlign w:val="center"/>
          </w:tcPr>
          <w:p w14:paraId="3446CEE7">
            <w:pPr>
              <w:pStyle w:val="41"/>
              <w:snapToGrid w:val="0"/>
              <w:spacing w:line="240" w:lineRule="auto"/>
              <w:ind w:left="0" w:leftChars="0" w:right="0" w:rightChars="0" w:firstLine="0" w:firstLineChars="0"/>
              <w:jc w:val="center"/>
              <w:rPr>
                <w:rFonts w:hint="eastAsia" w:ascii="仿宋" w:hAnsi="仿宋" w:eastAsia="仿宋" w:cs="仿宋"/>
                <w:b w:val="0"/>
                <w:bCs/>
                <w:spacing w:val="-2"/>
                <w:sz w:val="21"/>
                <w:highlight w:val="none"/>
                <w:lang w:val="en-US" w:eastAsia="zh-CN"/>
              </w:rPr>
            </w:pPr>
            <w:r>
              <w:rPr>
                <w:rFonts w:hint="eastAsia" w:ascii="仿宋" w:hAnsi="仿宋" w:eastAsia="仿宋" w:cs="仿宋"/>
                <w:b w:val="0"/>
                <w:bCs/>
                <w:spacing w:val="-2"/>
                <w:sz w:val="21"/>
                <w:highlight w:val="none"/>
                <w:lang w:val="en-US" w:eastAsia="zh-CN"/>
              </w:rPr>
              <w:t>披露管理</w:t>
            </w:r>
          </w:p>
        </w:tc>
        <w:tc>
          <w:tcPr>
            <w:tcW w:w="1905" w:type="dxa"/>
            <w:vMerge w:val="continue"/>
            <w:tcBorders>
              <w:top w:val="single" w:color="auto" w:sz="4" w:space="0"/>
              <w:left w:val="single" w:color="auto" w:sz="4" w:space="0"/>
              <w:bottom w:val="single" w:color="auto" w:sz="4" w:space="0"/>
              <w:right w:val="single" w:color="auto" w:sz="12" w:space="0"/>
            </w:tcBorders>
            <w:vAlign w:val="center"/>
          </w:tcPr>
          <w:p w14:paraId="244F2BD3">
            <w:pPr>
              <w:snapToGrid w:val="0"/>
              <w:spacing w:line="240" w:lineRule="auto"/>
              <w:ind w:left="0" w:leftChars="0" w:right="0" w:rightChars="0" w:firstLine="0" w:firstLineChars="0"/>
              <w:jc w:val="center"/>
              <w:rPr>
                <w:rFonts w:hint="eastAsia" w:ascii="仿宋" w:hAnsi="仿宋" w:eastAsia="仿宋" w:cs="仿宋"/>
                <w:b w:val="0"/>
                <w:bCs/>
                <w:sz w:val="21"/>
                <w:szCs w:val="2"/>
                <w:highlight w:val="none"/>
              </w:rPr>
            </w:pPr>
          </w:p>
        </w:tc>
      </w:tr>
      <w:tr w14:paraId="10CD1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314" w:type="dxa"/>
            <w:vMerge w:val="continue"/>
            <w:tcBorders>
              <w:top w:val="single" w:color="auto" w:sz="4" w:space="0"/>
              <w:left w:val="single" w:color="auto" w:sz="12" w:space="0"/>
              <w:bottom w:val="single" w:color="auto" w:sz="4" w:space="0"/>
              <w:right w:val="single" w:color="auto" w:sz="4" w:space="0"/>
            </w:tcBorders>
            <w:vAlign w:val="center"/>
          </w:tcPr>
          <w:p w14:paraId="6B808093">
            <w:pPr>
              <w:snapToGrid w:val="0"/>
              <w:spacing w:line="240" w:lineRule="auto"/>
              <w:ind w:left="0" w:leftChars="0" w:right="0" w:rightChars="0" w:firstLine="0" w:firstLineChars="0"/>
              <w:jc w:val="center"/>
              <w:rPr>
                <w:rFonts w:hint="eastAsia" w:ascii="仿宋" w:hAnsi="仿宋" w:eastAsia="仿宋" w:cs="仿宋"/>
                <w:b w:val="0"/>
                <w:bCs/>
                <w:sz w:val="21"/>
                <w:szCs w:val="2"/>
                <w:highlight w:val="none"/>
              </w:rPr>
            </w:pPr>
          </w:p>
        </w:tc>
        <w:tc>
          <w:tcPr>
            <w:tcW w:w="3736" w:type="dxa"/>
            <w:tcBorders>
              <w:top w:val="single" w:color="auto" w:sz="4" w:space="0"/>
              <w:left w:val="single" w:color="auto" w:sz="4" w:space="0"/>
              <w:bottom w:val="single" w:color="auto" w:sz="4" w:space="0"/>
              <w:right w:val="single" w:color="auto" w:sz="4" w:space="0"/>
            </w:tcBorders>
            <w:vAlign w:val="center"/>
          </w:tcPr>
          <w:p w14:paraId="00B46EC6">
            <w:pPr>
              <w:pStyle w:val="41"/>
              <w:snapToGrid w:val="0"/>
              <w:spacing w:line="240" w:lineRule="auto"/>
              <w:ind w:left="0" w:leftChars="0" w:right="0" w:rightChars="0" w:firstLine="0" w:firstLineChars="0"/>
              <w:jc w:val="center"/>
              <w:rPr>
                <w:rFonts w:hint="eastAsia" w:ascii="仿宋" w:hAnsi="仿宋" w:eastAsia="仿宋" w:cs="仿宋"/>
                <w:b w:val="0"/>
                <w:bCs/>
                <w:spacing w:val="-2"/>
                <w:sz w:val="21"/>
                <w:highlight w:val="none"/>
                <w:lang w:val="en-US" w:eastAsia="zh-CN"/>
              </w:rPr>
            </w:pPr>
            <w:r>
              <w:rPr>
                <w:rFonts w:hint="eastAsia" w:ascii="仿宋" w:hAnsi="仿宋" w:eastAsia="仿宋" w:cs="仿宋"/>
                <w:b w:val="0"/>
                <w:bCs/>
                <w:spacing w:val="-2"/>
                <w:sz w:val="21"/>
                <w:highlight w:val="none"/>
                <w:lang w:val="en-US" w:eastAsia="zh-CN"/>
              </w:rPr>
              <w:t>EPM</w:t>
            </w:r>
          </w:p>
        </w:tc>
        <w:tc>
          <w:tcPr>
            <w:tcW w:w="1905" w:type="dxa"/>
            <w:vMerge w:val="continue"/>
            <w:tcBorders>
              <w:top w:val="single" w:color="auto" w:sz="4" w:space="0"/>
              <w:left w:val="single" w:color="auto" w:sz="4" w:space="0"/>
              <w:bottom w:val="single" w:color="auto" w:sz="4" w:space="0"/>
              <w:right w:val="single" w:color="auto" w:sz="12" w:space="0"/>
            </w:tcBorders>
            <w:vAlign w:val="center"/>
          </w:tcPr>
          <w:p w14:paraId="43D3CAA8">
            <w:pPr>
              <w:snapToGrid w:val="0"/>
              <w:spacing w:line="240" w:lineRule="auto"/>
              <w:ind w:left="0" w:leftChars="0" w:right="0" w:rightChars="0" w:firstLine="0" w:firstLineChars="0"/>
              <w:jc w:val="center"/>
              <w:rPr>
                <w:rFonts w:hint="eastAsia" w:ascii="仿宋" w:hAnsi="仿宋" w:eastAsia="仿宋" w:cs="仿宋"/>
                <w:b w:val="0"/>
                <w:bCs/>
                <w:sz w:val="21"/>
                <w:szCs w:val="2"/>
                <w:highlight w:val="none"/>
              </w:rPr>
            </w:pPr>
          </w:p>
        </w:tc>
      </w:tr>
      <w:tr w14:paraId="095F2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314" w:type="dxa"/>
            <w:vMerge w:val="restart"/>
            <w:tcBorders>
              <w:top w:val="single" w:color="auto" w:sz="4" w:space="0"/>
              <w:left w:val="single" w:color="auto" w:sz="12" w:space="0"/>
              <w:bottom w:val="single" w:color="auto" w:sz="4" w:space="0"/>
              <w:right w:val="single" w:color="auto" w:sz="4" w:space="0"/>
            </w:tcBorders>
            <w:vAlign w:val="center"/>
          </w:tcPr>
          <w:p w14:paraId="01ED0CC4">
            <w:pPr>
              <w:pStyle w:val="41"/>
              <w:snapToGrid w:val="0"/>
              <w:spacing w:line="240" w:lineRule="auto"/>
              <w:ind w:left="0" w:leftChars="0" w:right="0" w:rightChars="0" w:firstLine="0" w:firstLineChars="0"/>
              <w:jc w:val="center"/>
              <w:rPr>
                <w:rFonts w:hint="eastAsia" w:ascii="仿宋" w:hAnsi="仿宋" w:eastAsia="仿宋" w:cs="仿宋"/>
                <w:b w:val="0"/>
                <w:bCs/>
                <w:sz w:val="21"/>
                <w:highlight w:val="none"/>
              </w:rPr>
            </w:pPr>
            <w:r>
              <w:rPr>
                <w:rFonts w:hint="eastAsia" w:ascii="仿宋" w:hAnsi="仿宋" w:eastAsia="仿宋" w:cs="仿宋"/>
                <w:b w:val="0"/>
                <w:bCs/>
                <w:spacing w:val="-1"/>
                <w:sz w:val="21"/>
                <w:highlight w:val="none"/>
              </w:rPr>
              <w:t>财务</w:t>
            </w:r>
          </w:p>
        </w:tc>
        <w:tc>
          <w:tcPr>
            <w:tcW w:w="3736" w:type="dxa"/>
            <w:tcBorders>
              <w:top w:val="single" w:color="auto" w:sz="4" w:space="0"/>
              <w:left w:val="single" w:color="auto" w:sz="4" w:space="0"/>
              <w:bottom w:val="single" w:color="auto" w:sz="4" w:space="0"/>
              <w:right w:val="single" w:color="auto" w:sz="4" w:space="0"/>
            </w:tcBorders>
            <w:vAlign w:val="center"/>
          </w:tcPr>
          <w:p w14:paraId="7E0F6263">
            <w:pPr>
              <w:pStyle w:val="41"/>
              <w:snapToGrid w:val="0"/>
              <w:spacing w:line="240" w:lineRule="auto"/>
              <w:ind w:left="0" w:leftChars="0" w:right="0" w:rightChars="0" w:firstLine="0" w:firstLineChars="0"/>
              <w:jc w:val="center"/>
              <w:rPr>
                <w:rFonts w:hint="eastAsia" w:ascii="仿宋" w:hAnsi="仿宋" w:eastAsia="仿宋" w:cs="仿宋"/>
                <w:b w:val="0"/>
                <w:bCs/>
                <w:spacing w:val="-2"/>
                <w:sz w:val="21"/>
                <w:highlight w:val="none"/>
                <w:lang w:val="en-US" w:eastAsia="zh-CN"/>
              </w:rPr>
            </w:pPr>
            <w:r>
              <w:rPr>
                <w:rFonts w:hint="eastAsia" w:ascii="仿宋" w:hAnsi="仿宋" w:eastAsia="仿宋" w:cs="仿宋"/>
                <w:b w:val="0"/>
                <w:bCs/>
                <w:spacing w:val="-2"/>
                <w:sz w:val="21"/>
                <w:highlight w:val="none"/>
                <w:lang w:val="en-US" w:eastAsia="zh-CN"/>
              </w:rPr>
              <w:t>多核算体系</w:t>
            </w:r>
          </w:p>
        </w:tc>
        <w:tc>
          <w:tcPr>
            <w:tcW w:w="1905" w:type="dxa"/>
            <w:tcBorders>
              <w:top w:val="single" w:color="auto" w:sz="4" w:space="0"/>
              <w:left w:val="single" w:color="auto" w:sz="4" w:space="0"/>
              <w:bottom w:val="single" w:color="auto" w:sz="4" w:space="0"/>
              <w:right w:val="single" w:color="auto" w:sz="12" w:space="0"/>
            </w:tcBorders>
            <w:vAlign w:val="center"/>
          </w:tcPr>
          <w:p w14:paraId="2F3E7019">
            <w:pPr>
              <w:pStyle w:val="41"/>
              <w:snapToGrid w:val="0"/>
              <w:spacing w:line="240" w:lineRule="auto"/>
              <w:ind w:left="0" w:leftChars="0" w:right="0" w:rightChars="0" w:firstLine="0" w:firstLineChars="0"/>
              <w:rPr>
                <w:rFonts w:hint="eastAsia" w:ascii="仿宋" w:hAnsi="仿宋" w:eastAsia="仿宋" w:cs="仿宋"/>
                <w:b w:val="0"/>
                <w:bCs/>
                <w:sz w:val="21"/>
                <w:highlight w:val="none"/>
                <w:lang w:eastAsia="zh-CN"/>
              </w:rPr>
            </w:pPr>
            <w:r>
              <w:rPr>
                <w:rFonts w:hint="eastAsia" w:ascii="仿宋" w:hAnsi="仿宋" w:eastAsia="仿宋" w:cs="仿宋"/>
                <w:b w:val="0"/>
                <w:bCs/>
                <w:spacing w:val="-5"/>
                <w:sz w:val="21"/>
                <w:highlight w:val="none"/>
                <w:lang w:val="en-US" w:eastAsia="zh-CN"/>
              </w:rPr>
              <w:t>1</w:t>
            </w:r>
          </w:p>
        </w:tc>
      </w:tr>
      <w:tr w14:paraId="6BDDB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314" w:type="dxa"/>
            <w:vMerge w:val="continue"/>
            <w:tcBorders>
              <w:top w:val="single" w:color="auto" w:sz="4" w:space="0"/>
              <w:left w:val="single" w:color="auto" w:sz="12" w:space="0"/>
              <w:bottom w:val="single" w:color="auto" w:sz="4" w:space="0"/>
              <w:right w:val="single" w:color="auto" w:sz="4" w:space="0"/>
            </w:tcBorders>
            <w:vAlign w:val="center"/>
          </w:tcPr>
          <w:p w14:paraId="316A3B9E">
            <w:pPr>
              <w:pStyle w:val="41"/>
              <w:snapToGrid w:val="0"/>
              <w:spacing w:line="240" w:lineRule="auto"/>
              <w:ind w:left="0" w:leftChars="0" w:right="0" w:rightChars="0" w:firstLine="0" w:firstLineChars="0"/>
              <w:jc w:val="center"/>
              <w:rPr>
                <w:rFonts w:hint="eastAsia" w:ascii="仿宋" w:hAnsi="仿宋" w:eastAsia="仿宋" w:cs="仿宋"/>
                <w:b w:val="0"/>
                <w:bCs/>
                <w:spacing w:val="-1"/>
                <w:sz w:val="21"/>
                <w:highlight w:val="none"/>
              </w:rPr>
            </w:pPr>
          </w:p>
        </w:tc>
        <w:tc>
          <w:tcPr>
            <w:tcW w:w="3736" w:type="dxa"/>
            <w:tcBorders>
              <w:top w:val="single" w:color="auto" w:sz="4" w:space="0"/>
              <w:left w:val="single" w:color="auto" w:sz="4" w:space="0"/>
              <w:bottom w:val="single" w:color="auto" w:sz="4" w:space="0"/>
              <w:right w:val="single" w:color="auto" w:sz="4" w:space="0"/>
            </w:tcBorders>
            <w:vAlign w:val="center"/>
          </w:tcPr>
          <w:p w14:paraId="201BCF81">
            <w:pPr>
              <w:pStyle w:val="41"/>
              <w:snapToGrid w:val="0"/>
              <w:spacing w:line="240" w:lineRule="auto"/>
              <w:ind w:left="0" w:leftChars="0" w:right="0" w:rightChars="0" w:firstLine="0" w:firstLineChars="0"/>
              <w:jc w:val="center"/>
              <w:rPr>
                <w:rFonts w:hint="eastAsia" w:ascii="仿宋" w:hAnsi="仿宋" w:eastAsia="仿宋" w:cs="仿宋"/>
                <w:b w:val="0"/>
                <w:bCs/>
                <w:spacing w:val="-2"/>
                <w:sz w:val="21"/>
                <w:highlight w:val="none"/>
                <w:lang w:val="en-US" w:eastAsia="zh-CN"/>
              </w:rPr>
            </w:pPr>
            <w:r>
              <w:rPr>
                <w:rFonts w:hint="eastAsia" w:ascii="仿宋" w:hAnsi="仿宋" w:eastAsia="仿宋" w:cs="仿宋"/>
                <w:b w:val="0"/>
                <w:bCs/>
                <w:spacing w:val="-2"/>
                <w:sz w:val="21"/>
                <w:highlight w:val="none"/>
                <w:lang w:val="en-US" w:eastAsia="zh-CN"/>
              </w:rPr>
              <w:t>智能核算机器人</w:t>
            </w:r>
          </w:p>
        </w:tc>
        <w:tc>
          <w:tcPr>
            <w:tcW w:w="1905" w:type="dxa"/>
            <w:tcBorders>
              <w:top w:val="single" w:color="auto" w:sz="4" w:space="0"/>
              <w:left w:val="single" w:color="auto" w:sz="4" w:space="0"/>
              <w:bottom w:val="single" w:color="auto" w:sz="4" w:space="0"/>
              <w:right w:val="single" w:color="auto" w:sz="12" w:space="0"/>
            </w:tcBorders>
            <w:vAlign w:val="center"/>
          </w:tcPr>
          <w:p w14:paraId="5290BB47">
            <w:pPr>
              <w:pStyle w:val="41"/>
              <w:snapToGrid w:val="0"/>
              <w:spacing w:line="240" w:lineRule="auto"/>
              <w:ind w:left="0" w:leftChars="0" w:right="0" w:rightChars="0" w:firstLine="0" w:firstLineChars="0"/>
              <w:rPr>
                <w:rFonts w:hint="eastAsia" w:ascii="仿宋" w:hAnsi="仿宋" w:eastAsia="仿宋" w:cs="仿宋"/>
                <w:b w:val="0"/>
                <w:bCs/>
                <w:spacing w:val="-5"/>
                <w:sz w:val="21"/>
                <w:highlight w:val="none"/>
                <w:lang w:val="en-US" w:eastAsia="zh-CN"/>
              </w:rPr>
            </w:pPr>
            <w:r>
              <w:rPr>
                <w:rFonts w:hint="eastAsia" w:ascii="仿宋" w:hAnsi="仿宋" w:eastAsia="仿宋" w:cs="仿宋"/>
                <w:b w:val="0"/>
                <w:bCs/>
                <w:spacing w:val="-5"/>
                <w:sz w:val="21"/>
                <w:highlight w:val="none"/>
                <w:lang w:val="en-US" w:eastAsia="zh-CN"/>
              </w:rPr>
              <w:t>1</w:t>
            </w:r>
          </w:p>
        </w:tc>
      </w:tr>
      <w:tr w14:paraId="5B5CD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314" w:type="dxa"/>
            <w:vMerge w:val="continue"/>
            <w:tcBorders>
              <w:top w:val="single" w:color="auto" w:sz="4" w:space="0"/>
              <w:left w:val="single" w:color="auto" w:sz="12" w:space="0"/>
              <w:bottom w:val="single" w:color="auto" w:sz="4" w:space="0"/>
              <w:right w:val="single" w:color="auto" w:sz="4" w:space="0"/>
            </w:tcBorders>
            <w:vAlign w:val="center"/>
          </w:tcPr>
          <w:p w14:paraId="3A3AEADB">
            <w:pPr>
              <w:pStyle w:val="41"/>
              <w:snapToGrid w:val="0"/>
              <w:spacing w:line="240" w:lineRule="auto"/>
              <w:ind w:left="0" w:leftChars="0" w:right="0" w:rightChars="0" w:firstLine="0" w:firstLineChars="0"/>
              <w:jc w:val="center"/>
              <w:rPr>
                <w:rFonts w:hint="eastAsia" w:ascii="仿宋" w:hAnsi="仿宋" w:eastAsia="仿宋" w:cs="仿宋"/>
                <w:b w:val="0"/>
                <w:bCs/>
                <w:spacing w:val="-1"/>
                <w:sz w:val="21"/>
                <w:highlight w:val="none"/>
              </w:rPr>
            </w:pPr>
          </w:p>
        </w:tc>
        <w:tc>
          <w:tcPr>
            <w:tcW w:w="3736" w:type="dxa"/>
            <w:tcBorders>
              <w:top w:val="single" w:color="auto" w:sz="4" w:space="0"/>
              <w:left w:val="single" w:color="auto" w:sz="4" w:space="0"/>
              <w:bottom w:val="single" w:color="auto" w:sz="4" w:space="0"/>
              <w:right w:val="single" w:color="auto" w:sz="4" w:space="0"/>
            </w:tcBorders>
            <w:vAlign w:val="center"/>
          </w:tcPr>
          <w:p w14:paraId="6EE30D8C">
            <w:pPr>
              <w:pStyle w:val="41"/>
              <w:snapToGrid w:val="0"/>
              <w:spacing w:line="240" w:lineRule="auto"/>
              <w:ind w:left="0" w:leftChars="0" w:right="0" w:rightChars="0" w:firstLine="0" w:firstLineChars="0"/>
              <w:jc w:val="center"/>
              <w:rPr>
                <w:rFonts w:hint="eastAsia" w:ascii="仿宋" w:hAnsi="仿宋" w:eastAsia="仿宋" w:cs="仿宋"/>
                <w:b w:val="0"/>
                <w:bCs/>
                <w:spacing w:val="-2"/>
                <w:sz w:val="21"/>
                <w:highlight w:val="none"/>
                <w:lang w:val="en-US" w:eastAsia="zh-CN"/>
              </w:rPr>
            </w:pPr>
            <w:r>
              <w:rPr>
                <w:rFonts w:hint="eastAsia" w:ascii="仿宋" w:hAnsi="仿宋" w:eastAsia="仿宋" w:cs="仿宋"/>
                <w:b w:val="0"/>
                <w:bCs/>
                <w:spacing w:val="-2"/>
                <w:sz w:val="21"/>
                <w:highlight w:val="none"/>
                <w:lang w:val="en-US" w:eastAsia="zh-CN"/>
              </w:rPr>
              <w:t>结账监控</w:t>
            </w:r>
          </w:p>
        </w:tc>
        <w:tc>
          <w:tcPr>
            <w:tcW w:w="1905" w:type="dxa"/>
            <w:tcBorders>
              <w:top w:val="single" w:color="auto" w:sz="4" w:space="0"/>
              <w:left w:val="single" w:color="auto" w:sz="4" w:space="0"/>
              <w:bottom w:val="single" w:color="auto" w:sz="4" w:space="0"/>
              <w:right w:val="single" w:color="auto" w:sz="12" w:space="0"/>
            </w:tcBorders>
            <w:vAlign w:val="center"/>
          </w:tcPr>
          <w:p w14:paraId="57C1772C">
            <w:pPr>
              <w:pStyle w:val="41"/>
              <w:snapToGrid w:val="0"/>
              <w:spacing w:line="240" w:lineRule="auto"/>
              <w:ind w:left="0" w:leftChars="0" w:right="0" w:rightChars="0" w:firstLine="0" w:firstLineChars="0"/>
              <w:rPr>
                <w:rFonts w:hint="eastAsia" w:ascii="仿宋" w:hAnsi="仿宋" w:eastAsia="仿宋" w:cs="仿宋"/>
                <w:b w:val="0"/>
                <w:bCs/>
                <w:spacing w:val="-5"/>
                <w:sz w:val="21"/>
                <w:highlight w:val="none"/>
                <w:lang w:val="en-US" w:eastAsia="zh-CN"/>
              </w:rPr>
            </w:pPr>
            <w:r>
              <w:rPr>
                <w:rFonts w:hint="eastAsia" w:ascii="仿宋" w:hAnsi="仿宋" w:eastAsia="仿宋" w:cs="仿宋"/>
                <w:b w:val="0"/>
                <w:bCs/>
                <w:spacing w:val="-5"/>
                <w:sz w:val="21"/>
                <w:highlight w:val="none"/>
                <w:lang w:val="en-US" w:eastAsia="zh-CN"/>
              </w:rPr>
              <w:t>1</w:t>
            </w:r>
          </w:p>
        </w:tc>
      </w:tr>
      <w:tr w14:paraId="6B3D6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314" w:type="dxa"/>
            <w:vMerge w:val="continue"/>
            <w:tcBorders>
              <w:top w:val="single" w:color="auto" w:sz="4" w:space="0"/>
              <w:left w:val="single" w:color="auto" w:sz="12" w:space="0"/>
              <w:bottom w:val="single" w:color="auto" w:sz="4" w:space="0"/>
              <w:right w:val="single" w:color="auto" w:sz="4" w:space="0"/>
            </w:tcBorders>
            <w:vAlign w:val="center"/>
          </w:tcPr>
          <w:p w14:paraId="387C965F">
            <w:pPr>
              <w:pStyle w:val="41"/>
              <w:snapToGrid w:val="0"/>
              <w:spacing w:line="240" w:lineRule="auto"/>
              <w:ind w:left="0" w:leftChars="0" w:right="0" w:rightChars="0" w:firstLine="0" w:firstLineChars="0"/>
              <w:jc w:val="center"/>
              <w:rPr>
                <w:rFonts w:hint="eastAsia" w:ascii="仿宋" w:hAnsi="仿宋" w:eastAsia="仿宋" w:cs="仿宋"/>
                <w:b w:val="0"/>
                <w:bCs/>
                <w:spacing w:val="-1"/>
                <w:sz w:val="21"/>
                <w:highlight w:val="none"/>
              </w:rPr>
            </w:pPr>
          </w:p>
        </w:tc>
        <w:tc>
          <w:tcPr>
            <w:tcW w:w="3736" w:type="dxa"/>
            <w:tcBorders>
              <w:top w:val="single" w:color="auto" w:sz="4" w:space="0"/>
              <w:left w:val="single" w:color="auto" w:sz="4" w:space="0"/>
              <w:bottom w:val="single" w:color="auto" w:sz="4" w:space="0"/>
              <w:right w:val="single" w:color="auto" w:sz="4" w:space="0"/>
            </w:tcBorders>
            <w:vAlign w:val="center"/>
          </w:tcPr>
          <w:p w14:paraId="144625C5">
            <w:pPr>
              <w:pStyle w:val="41"/>
              <w:snapToGrid w:val="0"/>
              <w:spacing w:line="240" w:lineRule="auto"/>
              <w:ind w:left="0" w:leftChars="0" w:right="0" w:rightChars="0" w:firstLine="0" w:firstLineChars="0"/>
              <w:jc w:val="center"/>
              <w:rPr>
                <w:rFonts w:hint="eastAsia" w:ascii="仿宋" w:hAnsi="仿宋" w:eastAsia="仿宋" w:cs="仿宋"/>
                <w:b w:val="0"/>
                <w:bCs/>
                <w:spacing w:val="-2"/>
                <w:sz w:val="21"/>
                <w:highlight w:val="none"/>
                <w:lang w:val="en-US" w:eastAsia="zh-CN"/>
              </w:rPr>
            </w:pPr>
            <w:r>
              <w:rPr>
                <w:rFonts w:hint="eastAsia" w:ascii="仿宋" w:hAnsi="仿宋" w:eastAsia="仿宋" w:cs="仿宋"/>
                <w:b w:val="0"/>
                <w:bCs/>
                <w:spacing w:val="-2"/>
                <w:sz w:val="21"/>
                <w:highlight w:val="none"/>
                <w:lang w:val="en-US" w:eastAsia="zh-CN"/>
              </w:rPr>
              <w:t>外审文件管理</w:t>
            </w:r>
          </w:p>
        </w:tc>
        <w:tc>
          <w:tcPr>
            <w:tcW w:w="1905" w:type="dxa"/>
            <w:tcBorders>
              <w:top w:val="single" w:color="auto" w:sz="4" w:space="0"/>
              <w:left w:val="single" w:color="auto" w:sz="4" w:space="0"/>
              <w:bottom w:val="single" w:color="auto" w:sz="4" w:space="0"/>
              <w:right w:val="single" w:color="auto" w:sz="12" w:space="0"/>
            </w:tcBorders>
            <w:vAlign w:val="center"/>
          </w:tcPr>
          <w:p w14:paraId="5D1050CE">
            <w:pPr>
              <w:pStyle w:val="41"/>
              <w:snapToGrid w:val="0"/>
              <w:spacing w:line="240" w:lineRule="auto"/>
              <w:ind w:left="0" w:leftChars="0" w:right="0" w:rightChars="0" w:firstLine="0" w:firstLineChars="0"/>
              <w:rPr>
                <w:rFonts w:hint="eastAsia" w:ascii="仿宋" w:hAnsi="仿宋" w:eastAsia="仿宋" w:cs="仿宋"/>
                <w:b w:val="0"/>
                <w:bCs/>
                <w:spacing w:val="-5"/>
                <w:sz w:val="21"/>
                <w:highlight w:val="none"/>
                <w:lang w:val="en-US" w:eastAsia="zh-CN"/>
              </w:rPr>
            </w:pPr>
            <w:r>
              <w:rPr>
                <w:rFonts w:hint="eastAsia" w:ascii="仿宋" w:hAnsi="仿宋" w:eastAsia="仿宋" w:cs="仿宋"/>
                <w:b w:val="0"/>
                <w:bCs/>
                <w:spacing w:val="-5"/>
                <w:sz w:val="21"/>
                <w:highlight w:val="none"/>
                <w:lang w:val="en-US" w:eastAsia="zh-CN"/>
              </w:rPr>
              <w:t>1</w:t>
            </w:r>
          </w:p>
        </w:tc>
      </w:tr>
      <w:tr w14:paraId="4DE03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314" w:type="dxa"/>
            <w:tcBorders>
              <w:top w:val="single" w:color="auto" w:sz="4" w:space="0"/>
              <w:left w:val="single" w:color="auto" w:sz="12" w:space="0"/>
              <w:bottom w:val="single" w:color="auto" w:sz="4" w:space="0"/>
              <w:right w:val="single" w:color="auto" w:sz="4" w:space="0"/>
            </w:tcBorders>
            <w:vAlign w:val="center"/>
          </w:tcPr>
          <w:p w14:paraId="22EE4BEA">
            <w:pPr>
              <w:pStyle w:val="41"/>
              <w:snapToGrid w:val="0"/>
              <w:spacing w:before="87" w:line="240" w:lineRule="auto"/>
              <w:ind w:left="0" w:leftChars="0" w:right="0" w:rightChars="0" w:firstLine="0" w:firstLineChars="0"/>
              <w:jc w:val="center"/>
              <w:rPr>
                <w:rFonts w:hint="eastAsia" w:ascii="仿宋" w:hAnsi="仿宋" w:eastAsia="仿宋" w:cs="仿宋"/>
                <w:b w:val="0"/>
                <w:bCs/>
                <w:sz w:val="21"/>
                <w:highlight w:val="none"/>
                <w:lang w:val="en-US" w:eastAsia="zh-CN"/>
              </w:rPr>
            </w:pPr>
            <w:r>
              <w:rPr>
                <w:rFonts w:hint="eastAsia" w:ascii="仿宋" w:hAnsi="仿宋" w:eastAsia="仿宋" w:cs="仿宋"/>
                <w:b w:val="0"/>
                <w:bCs/>
                <w:sz w:val="21"/>
                <w:highlight w:val="none"/>
                <w:lang w:val="en-US" w:eastAsia="zh-CN"/>
              </w:rPr>
              <w:t>流程服务</w:t>
            </w:r>
          </w:p>
        </w:tc>
        <w:tc>
          <w:tcPr>
            <w:tcW w:w="3736" w:type="dxa"/>
            <w:tcBorders>
              <w:top w:val="single" w:color="auto" w:sz="4" w:space="0"/>
              <w:left w:val="single" w:color="auto" w:sz="4" w:space="0"/>
              <w:bottom w:val="single" w:color="auto" w:sz="4" w:space="0"/>
              <w:right w:val="single" w:color="auto" w:sz="4" w:space="0"/>
            </w:tcBorders>
            <w:vAlign w:val="center"/>
          </w:tcPr>
          <w:p w14:paraId="2AE31A90">
            <w:pPr>
              <w:pStyle w:val="41"/>
              <w:snapToGrid w:val="0"/>
              <w:spacing w:before="0" w:line="240" w:lineRule="auto"/>
              <w:ind w:left="0" w:leftChars="0" w:right="0" w:rightChars="0" w:firstLine="0" w:firstLineChars="0"/>
              <w:jc w:val="center"/>
              <w:rPr>
                <w:rFonts w:hint="eastAsia" w:ascii="仿宋" w:hAnsi="仿宋" w:eastAsia="仿宋" w:cs="仿宋"/>
                <w:b w:val="0"/>
                <w:bCs/>
                <w:spacing w:val="-2"/>
                <w:sz w:val="21"/>
                <w:highlight w:val="none"/>
              </w:rPr>
            </w:pPr>
            <w:r>
              <w:rPr>
                <w:rFonts w:hint="eastAsia" w:ascii="仿宋" w:hAnsi="仿宋" w:eastAsia="仿宋" w:cs="仿宋"/>
                <w:b w:val="0"/>
                <w:bCs/>
                <w:spacing w:val="-2"/>
                <w:sz w:val="21"/>
                <w:highlight w:val="none"/>
              </w:rPr>
              <w:t>工作流服务-无限版</w:t>
            </w:r>
          </w:p>
        </w:tc>
        <w:tc>
          <w:tcPr>
            <w:tcW w:w="1905" w:type="dxa"/>
            <w:tcBorders>
              <w:top w:val="single" w:color="auto" w:sz="4" w:space="0"/>
              <w:left w:val="single" w:color="auto" w:sz="4" w:space="0"/>
              <w:bottom w:val="single" w:color="auto" w:sz="4" w:space="0"/>
              <w:right w:val="single" w:color="auto" w:sz="12" w:space="0"/>
            </w:tcBorders>
            <w:vAlign w:val="center"/>
          </w:tcPr>
          <w:p w14:paraId="657ED5E2">
            <w:pPr>
              <w:pStyle w:val="41"/>
              <w:snapToGrid w:val="0"/>
              <w:spacing w:before="87" w:line="240" w:lineRule="auto"/>
              <w:ind w:left="0" w:leftChars="0" w:right="0" w:rightChars="0" w:firstLine="0" w:firstLineChars="0"/>
              <w:rPr>
                <w:rFonts w:hint="eastAsia" w:ascii="仿宋" w:hAnsi="仿宋" w:eastAsia="仿宋" w:cs="仿宋"/>
                <w:b w:val="0"/>
                <w:bCs/>
                <w:sz w:val="21"/>
                <w:highlight w:val="none"/>
                <w:lang w:eastAsia="zh-CN"/>
              </w:rPr>
            </w:pPr>
            <w:r>
              <w:rPr>
                <w:rFonts w:hint="eastAsia" w:ascii="仿宋" w:hAnsi="仿宋" w:eastAsia="仿宋" w:cs="仿宋"/>
                <w:b w:val="0"/>
                <w:bCs/>
                <w:spacing w:val="-10"/>
                <w:sz w:val="21"/>
                <w:highlight w:val="none"/>
                <w:lang w:val="en-US" w:eastAsia="zh-CN"/>
              </w:rPr>
              <w:t>1</w:t>
            </w:r>
          </w:p>
        </w:tc>
      </w:tr>
      <w:tr w14:paraId="68912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314" w:type="dxa"/>
            <w:tcBorders>
              <w:top w:val="single" w:color="auto" w:sz="4" w:space="0"/>
              <w:left w:val="single" w:color="auto" w:sz="12" w:space="0"/>
              <w:bottom w:val="single" w:color="auto" w:sz="4" w:space="0"/>
              <w:right w:val="single" w:color="auto" w:sz="4" w:space="0"/>
            </w:tcBorders>
            <w:shd w:val="clear" w:color="auto" w:fill="auto"/>
            <w:vAlign w:val="center"/>
          </w:tcPr>
          <w:p w14:paraId="2EF08FE2">
            <w:pPr>
              <w:pStyle w:val="41"/>
              <w:snapToGrid w:val="0"/>
              <w:spacing w:line="240" w:lineRule="auto"/>
              <w:ind w:left="0" w:leftChars="0" w:right="0" w:rightChars="0" w:firstLine="0" w:firstLineChars="0"/>
              <w:jc w:val="center"/>
              <w:rPr>
                <w:rFonts w:hint="eastAsia" w:ascii="仿宋" w:hAnsi="仿宋" w:eastAsia="仿宋" w:cs="仿宋"/>
                <w:b w:val="0"/>
                <w:bCs/>
                <w:sz w:val="21"/>
                <w:szCs w:val="22"/>
                <w:highlight w:val="none"/>
                <w:lang w:val="en-US" w:eastAsia="zh-CN" w:bidi="ar-SA"/>
              </w:rPr>
            </w:pPr>
            <w:r>
              <w:rPr>
                <w:rFonts w:hint="eastAsia" w:ascii="仿宋" w:hAnsi="仿宋" w:eastAsia="仿宋" w:cs="仿宋"/>
                <w:b w:val="0"/>
                <w:bCs/>
                <w:spacing w:val="-2"/>
                <w:sz w:val="21"/>
                <w:highlight w:val="none"/>
              </w:rPr>
              <w:t>集成服务</w:t>
            </w:r>
          </w:p>
        </w:tc>
        <w:tc>
          <w:tcPr>
            <w:tcW w:w="3736" w:type="dxa"/>
            <w:tcBorders>
              <w:top w:val="single" w:color="auto" w:sz="4" w:space="0"/>
              <w:left w:val="single" w:color="auto" w:sz="4" w:space="0"/>
              <w:bottom w:val="single" w:color="auto" w:sz="4" w:space="0"/>
              <w:right w:val="single" w:color="auto" w:sz="4" w:space="0"/>
            </w:tcBorders>
            <w:shd w:val="clear" w:color="auto" w:fill="auto"/>
            <w:vAlign w:val="center"/>
          </w:tcPr>
          <w:p w14:paraId="4AF79D56">
            <w:pPr>
              <w:pStyle w:val="41"/>
              <w:snapToGrid w:val="0"/>
              <w:spacing w:line="240" w:lineRule="auto"/>
              <w:ind w:left="0" w:leftChars="0" w:right="0" w:rightChars="0" w:firstLine="0" w:firstLineChars="0"/>
              <w:jc w:val="center"/>
              <w:rPr>
                <w:rFonts w:hint="eastAsia" w:ascii="仿宋" w:hAnsi="仿宋" w:eastAsia="仿宋" w:cs="仿宋"/>
                <w:b w:val="0"/>
                <w:bCs/>
                <w:spacing w:val="-2"/>
                <w:sz w:val="21"/>
                <w:szCs w:val="20"/>
                <w:highlight w:val="none"/>
                <w:lang w:val="en-US" w:eastAsia="zh-CN" w:bidi="ar-SA"/>
              </w:rPr>
            </w:pPr>
            <w:r>
              <w:rPr>
                <w:rFonts w:hint="eastAsia" w:ascii="仿宋" w:hAnsi="仿宋" w:eastAsia="仿宋" w:cs="仿宋"/>
                <w:b w:val="0"/>
                <w:bCs/>
                <w:spacing w:val="-2"/>
                <w:sz w:val="21"/>
                <w:highlight w:val="none"/>
              </w:rPr>
              <w:t>集成管理</w:t>
            </w:r>
          </w:p>
        </w:tc>
        <w:tc>
          <w:tcPr>
            <w:tcW w:w="1905" w:type="dxa"/>
            <w:tcBorders>
              <w:top w:val="single" w:color="auto" w:sz="4" w:space="0"/>
              <w:left w:val="single" w:color="auto" w:sz="4" w:space="0"/>
              <w:bottom w:val="single" w:color="auto" w:sz="4" w:space="0"/>
              <w:right w:val="single" w:color="auto" w:sz="12" w:space="0"/>
            </w:tcBorders>
            <w:shd w:val="clear" w:color="auto" w:fill="auto"/>
            <w:vAlign w:val="center"/>
          </w:tcPr>
          <w:p w14:paraId="3E33E703">
            <w:pPr>
              <w:pStyle w:val="41"/>
              <w:snapToGrid w:val="0"/>
              <w:spacing w:line="240" w:lineRule="auto"/>
              <w:ind w:left="0" w:leftChars="0" w:right="0" w:rightChars="0" w:firstLine="0" w:firstLineChars="0"/>
              <w:rPr>
                <w:rFonts w:hint="eastAsia" w:ascii="仿宋" w:hAnsi="仿宋" w:eastAsia="仿宋" w:cs="仿宋"/>
                <w:b w:val="0"/>
                <w:bCs/>
                <w:sz w:val="21"/>
                <w:szCs w:val="22"/>
                <w:highlight w:val="none"/>
                <w:lang w:val="en-US" w:eastAsia="zh-CN" w:bidi="ar-SA"/>
              </w:rPr>
            </w:pPr>
            <w:r>
              <w:rPr>
                <w:rFonts w:hint="eastAsia" w:ascii="仿宋" w:hAnsi="仿宋" w:eastAsia="仿宋" w:cs="仿宋"/>
                <w:b w:val="0"/>
                <w:bCs/>
                <w:sz w:val="21"/>
                <w:szCs w:val="22"/>
                <w:highlight w:val="none"/>
                <w:lang w:val="en-US" w:eastAsia="zh-CN" w:bidi="ar-SA"/>
              </w:rPr>
              <w:t>2</w:t>
            </w:r>
          </w:p>
        </w:tc>
      </w:tr>
      <w:tr w14:paraId="1740D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314"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14:paraId="285EFC14">
            <w:pPr>
              <w:pStyle w:val="41"/>
              <w:snapToGrid w:val="0"/>
              <w:spacing w:line="240" w:lineRule="auto"/>
              <w:ind w:left="0" w:leftChars="0" w:right="0" w:rightChars="0" w:firstLine="0" w:firstLineChars="0"/>
              <w:jc w:val="center"/>
              <w:rPr>
                <w:rFonts w:hint="eastAsia" w:ascii="仿宋" w:hAnsi="仿宋" w:eastAsia="仿宋" w:cs="仿宋"/>
                <w:b w:val="0"/>
                <w:bCs/>
                <w:spacing w:val="-2"/>
                <w:sz w:val="21"/>
                <w:highlight w:val="none"/>
                <w:lang w:val="en-US" w:eastAsia="zh-CN"/>
              </w:rPr>
            </w:pPr>
            <w:r>
              <w:rPr>
                <w:rFonts w:hint="eastAsia" w:ascii="仿宋" w:hAnsi="仿宋" w:eastAsia="仿宋" w:cs="仿宋"/>
                <w:b w:val="0"/>
                <w:bCs/>
                <w:spacing w:val="-2"/>
                <w:sz w:val="21"/>
                <w:highlight w:val="none"/>
                <w:lang w:val="en-US" w:eastAsia="zh-CN"/>
              </w:rPr>
              <w:t>数据服务</w:t>
            </w:r>
          </w:p>
        </w:tc>
        <w:tc>
          <w:tcPr>
            <w:tcW w:w="3736" w:type="dxa"/>
            <w:tcBorders>
              <w:top w:val="single" w:color="auto" w:sz="4" w:space="0"/>
              <w:left w:val="single" w:color="auto" w:sz="4" w:space="0"/>
              <w:bottom w:val="single" w:color="auto" w:sz="4" w:space="0"/>
              <w:right w:val="single" w:color="auto" w:sz="4" w:space="0"/>
            </w:tcBorders>
            <w:shd w:val="clear" w:color="auto" w:fill="auto"/>
            <w:vAlign w:val="center"/>
          </w:tcPr>
          <w:p w14:paraId="3509DD70">
            <w:pPr>
              <w:pStyle w:val="41"/>
              <w:snapToGrid w:val="0"/>
              <w:spacing w:line="240" w:lineRule="auto"/>
              <w:ind w:left="0" w:leftChars="0" w:right="0" w:rightChars="0" w:firstLine="0" w:firstLineChars="0"/>
              <w:jc w:val="center"/>
              <w:rPr>
                <w:rFonts w:hint="eastAsia" w:ascii="仿宋" w:hAnsi="仿宋" w:eastAsia="仿宋" w:cs="仿宋"/>
                <w:b w:val="0"/>
                <w:bCs/>
                <w:spacing w:val="-2"/>
                <w:sz w:val="21"/>
                <w:highlight w:val="none"/>
                <w:lang w:val="en-US" w:eastAsia="zh-CN"/>
              </w:rPr>
            </w:pPr>
            <w:r>
              <w:rPr>
                <w:rFonts w:hint="eastAsia" w:ascii="仿宋" w:hAnsi="仿宋" w:eastAsia="仿宋" w:cs="仿宋"/>
                <w:b w:val="0"/>
                <w:bCs/>
                <w:spacing w:val="-2"/>
                <w:sz w:val="21"/>
                <w:highlight w:val="none"/>
                <w:lang w:val="en-US" w:eastAsia="zh-CN"/>
              </w:rPr>
              <w:t>轻分析（个性化报表）</w:t>
            </w:r>
          </w:p>
        </w:tc>
        <w:tc>
          <w:tcPr>
            <w:tcW w:w="1905" w:type="dxa"/>
            <w:tcBorders>
              <w:top w:val="single" w:color="auto" w:sz="4" w:space="0"/>
              <w:left w:val="single" w:color="auto" w:sz="4" w:space="0"/>
              <w:bottom w:val="single" w:color="auto" w:sz="4" w:space="0"/>
              <w:right w:val="single" w:color="auto" w:sz="12" w:space="0"/>
            </w:tcBorders>
            <w:shd w:val="clear" w:color="auto" w:fill="auto"/>
            <w:vAlign w:val="center"/>
          </w:tcPr>
          <w:p w14:paraId="126131E8">
            <w:pPr>
              <w:pStyle w:val="41"/>
              <w:snapToGrid w:val="0"/>
              <w:spacing w:line="240" w:lineRule="auto"/>
              <w:ind w:left="0" w:leftChars="0" w:right="0" w:rightChars="0" w:firstLine="0" w:firstLineChars="0"/>
              <w:rPr>
                <w:rFonts w:hint="eastAsia" w:ascii="仿宋" w:hAnsi="仿宋" w:eastAsia="仿宋" w:cs="仿宋"/>
                <w:b w:val="0"/>
                <w:bCs/>
                <w:sz w:val="21"/>
                <w:szCs w:val="22"/>
                <w:highlight w:val="none"/>
                <w:lang w:val="en-US" w:eastAsia="zh-CN" w:bidi="ar-SA"/>
              </w:rPr>
            </w:pPr>
            <w:r>
              <w:rPr>
                <w:rFonts w:hint="eastAsia" w:ascii="仿宋" w:hAnsi="仿宋" w:eastAsia="仿宋" w:cs="仿宋"/>
                <w:b w:val="0"/>
                <w:bCs/>
                <w:sz w:val="21"/>
                <w:szCs w:val="22"/>
                <w:highlight w:val="none"/>
                <w:lang w:val="en-US" w:eastAsia="zh-CN" w:bidi="ar-SA"/>
              </w:rPr>
              <w:t>20</w:t>
            </w:r>
          </w:p>
        </w:tc>
      </w:tr>
      <w:tr w14:paraId="50289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314"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6DD719B3">
            <w:pPr>
              <w:pStyle w:val="41"/>
              <w:snapToGrid w:val="0"/>
              <w:spacing w:line="240" w:lineRule="auto"/>
              <w:ind w:left="0" w:leftChars="0" w:right="0" w:rightChars="0" w:firstLine="0" w:firstLineChars="0"/>
              <w:jc w:val="center"/>
              <w:rPr>
                <w:rFonts w:hint="eastAsia" w:ascii="仿宋" w:hAnsi="仿宋" w:eastAsia="仿宋" w:cs="仿宋"/>
                <w:b w:val="0"/>
                <w:bCs/>
                <w:spacing w:val="-2"/>
                <w:sz w:val="21"/>
                <w:highlight w:val="none"/>
                <w:lang w:val="en-US" w:eastAsia="zh-CN"/>
              </w:rPr>
            </w:pPr>
          </w:p>
        </w:tc>
        <w:tc>
          <w:tcPr>
            <w:tcW w:w="3736" w:type="dxa"/>
            <w:tcBorders>
              <w:top w:val="single" w:color="auto" w:sz="4" w:space="0"/>
              <w:left w:val="single" w:color="auto" w:sz="4" w:space="0"/>
              <w:bottom w:val="single" w:color="auto" w:sz="4" w:space="0"/>
              <w:right w:val="single" w:color="auto" w:sz="4" w:space="0"/>
            </w:tcBorders>
            <w:shd w:val="clear" w:color="auto" w:fill="auto"/>
            <w:vAlign w:val="center"/>
          </w:tcPr>
          <w:p w14:paraId="5E5A1C93">
            <w:pPr>
              <w:pStyle w:val="41"/>
              <w:snapToGrid w:val="0"/>
              <w:spacing w:line="240" w:lineRule="auto"/>
              <w:ind w:left="0" w:leftChars="0" w:right="0" w:rightChars="0" w:firstLine="0" w:firstLineChars="0"/>
              <w:jc w:val="center"/>
              <w:rPr>
                <w:rFonts w:hint="eastAsia" w:ascii="仿宋" w:hAnsi="仿宋" w:eastAsia="仿宋" w:cs="仿宋"/>
                <w:b w:val="0"/>
                <w:bCs/>
                <w:spacing w:val="-2"/>
                <w:sz w:val="21"/>
                <w:highlight w:val="none"/>
                <w:lang w:val="en-US" w:eastAsia="zh-CN"/>
              </w:rPr>
            </w:pPr>
            <w:r>
              <w:rPr>
                <w:rFonts w:hint="eastAsia" w:ascii="仿宋" w:hAnsi="仿宋" w:eastAsia="仿宋" w:cs="仿宋"/>
                <w:b w:val="0"/>
                <w:bCs/>
                <w:spacing w:val="-2"/>
                <w:sz w:val="21"/>
                <w:highlight w:val="none"/>
                <w:lang w:val="en-US" w:eastAsia="zh-CN"/>
              </w:rPr>
              <w:t>智能数据洞察</w:t>
            </w:r>
          </w:p>
        </w:tc>
        <w:tc>
          <w:tcPr>
            <w:tcW w:w="1905" w:type="dxa"/>
            <w:tcBorders>
              <w:top w:val="single" w:color="auto" w:sz="4" w:space="0"/>
              <w:left w:val="single" w:color="auto" w:sz="4" w:space="0"/>
              <w:bottom w:val="single" w:color="auto" w:sz="4" w:space="0"/>
              <w:right w:val="single" w:color="auto" w:sz="12" w:space="0"/>
            </w:tcBorders>
            <w:shd w:val="clear" w:color="auto" w:fill="auto"/>
            <w:vAlign w:val="center"/>
          </w:tcPr>
          <w:p w14:paraId="76A3C507">
            <w:pPr>
              <w:pStyle w:val="41"/>
              <w:snapToGrid w:val="0"/>
              <w:spacing w:line="240" w:lineRule="auto"/>
              <w:ind w:left="0" w:leftChars="0" w:right="0" w:rightChars="0" w:firstLine="0" w:firstLineChars="0"/>
              <w:rPr>
                <w:rFonts w:hint="eastAsia" w:ascii="仿宋" w:hAnsi="仿宋" w:eastAsia="仿宋" w:cs="仿宋"/>
                <w:b w:val="0"/>
                <w:bCs/>
                <w:sz w:val="21"/>
                <w:szCs w:val="22"/>
                <w:highlight w:val="none"/>
                <w:lang w:val="en-US" w:eastAsia="zh-CN" w:bidi="ar-SA"/>
              </w:rPr>
            </w:pPr>
            <w:r>
              <w:rPr>
                <w:rFonts w:hint="eastAsia" w:ascii="仿宋" w:hAnsi="仿宋" w:eastAsia="仿宋" w:cs="仿宋"/>
                <w:b w:val="0"/>
                <w:bCs/>
                <w:sz w:val="21"/>
                <w:szCs w:val="22"/>
                <w:highlight w:val="none"/>
                <w:lang w:val="en-US" w:eastAsia="zh-CN" w:bidi="ar-SA"/>
              </w:rPr>
              <w:t>1</w:t>
            </w:r>
          </w:p>
        </w:tc>
      </w:tr>
      <w:tr w14:paraId="0D447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314"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14:paraId="579E7F6F">
            <w:pPr>
              <w:pStyle w:val="41"/>
              <w:snapToGrid w:val="0"/>
              <w:spacing w:line="240" w:lineRule="auto"/>
              <w:ind w:left="0" w:leftChars="0" w:right="0" w:rightChars="0" w:firstLine="0" w:firstLineChars="0"/>
              <w:jc w:val="center"/>
              <w:rPr>
                <w:rFonts w:hint="eastAsia" w:ascii="仿宋" w:hAnsi="仿宋" w:eastAsia="仿宋" w:cs="仿宋"/>
                <w:b w:val="0"/>
                <w:bCs/>
                <w:spacing w:val="-2"/>
                <w:sz w:val="21"/>
                <w:highlight w:val="none"/>
                <w:lang w:val="en-US" w:eastAsia="zh-CN"/>
              </w:rPr>
            </w:pPr>
            <w:r>
              <w:rPr>
                <w:rFonts w:hint="eastAsia" w:ascii="仿宋" w:hAnsi="仿宋" w:eastAsia="仿宋" w:cs="仿宋"/>
                <w:b w:val="0"/>
                <w:bCs/>
                <w:spacing w:val="-2"/>
                <w:sz w:val="21"/>
                <w:highlight w:val="none"/>
                <w:lang w:val="en-US" w:eastAsia="zh-CN"/>
              </w:rPr>
              <w:t>云基础平台</w:t>
            </w:r>
          </w:p>
        </w:tc>
        <w:tc>
          <w:tcPr>
            <w:tcW w:w="3736" w:type="dxa"/>
            <w:tcBorders>
              <w:top w:val="single" w:color="auto" w:sz="4" w:space="0"/>
              <w:left w:val="single" w:color="auto" w:sz="4" w:space="0"/>
              <w:bottom w:val="single" w:color="auto" w:sz="4" w:space="0"/>
              <w:right w:val="single" w:color="auto" w:sz="4" w:space="0"/>
            </w:tcBorders>
            <w:shd w:val="clear" w:color="auto" w:fill="auto"/>
            <w:vAlign w:val="center"/>
          </w:tcPr>
          <w:p w14:paraId="39F2E410">
            <w:pPr>
              <w:pStyle w:val="41"/>
              <w:snapToGrid w:val="0"/>
              <w:spacing w:line="240" w:lineRule="auto"/>
              <w:ind w:left="0" w:leftChars="0" w:right="0" w:rightChars="0" w:firstLine="0" w:firstLineChars="0"/>
              <w:jc w:val="center"/>
              <w:rPr>
                <w:rFonts w:hint="eastAsia" w:ascii="仿宋" w:hAnsi="仿宋" w:eastAsia="仿宋" w:cs="仿宋"/>
                <w:b w:val="0"/>
                <w:bCs/>
                <w:spacing w:val="-2"/>
                <w:sz w:val="21"/>
                <w:highlight w:val="none"/>
                <w:lang w:val="en-US" w:eastAsia="zh-CN"/>
              </w:rPr>
            </w:pPr>
            <w:r>
              <w:rPr>
                <w:rFonts w:hint="eastAsia" w:ascii="仿宋" w:hAnsi="仿宋" w:eastAsia="仿宋" w:cs="仿宋"/>
                <w:b w:val="0"/>
                <w:bCs/>
                <w:spacing w:val="-2"/>
                <w:sz w:val="21"/>
                <w:highlight w:val="none"/>
                <w:lang w:val="en-US" w:eastAsia="zh-CN"/>
              </w:rPr>
              <w:t>容器服务</w:t>
            </w:r>
          </w:p>
        </w:tc>
        <w:tc>
          <w:tcPr>
            <w:tcW w:w="1905" w:type="dxa"/>
            <w:tcBorders>
              <w:top w:val="single" w:color="auto" w:sz="4" w:space="0"/>
              <w:left w:val="single" w:color="auto" w:sz="4" w:space="0"/>
              <w:bottom w:val="single" w:color="auto" w:sz="4" w:space="0"/>
              <w:right w:val="single" w:color="auto" w:sz="12" w:space="0"/>
            </w:tcBorders>
            <w:shd w:val="clear" w:color="auto" w:fill="auto"/>
            <w:vAlign w:val="center"/>
          </w:tcPr>
          <w:p w14:paraId="14BFEA98">
            <w:pPr>
              <w:pStyle w:val="41"/>
              <w:snapToGrid w:val="0"/>
              <w:spacing w:line="240" w:lineRule="auto"/>
              <w:ind w:left="0" w:leftChars="0" w:right="0" w:rightChars="0" w:firstLine="0" w:firstLineChars="0"/>
              <w:rPr>
                <w:rFonts w:hint="eastAsia" w:ascii="仿宋" w:hAnsi="仿宋" w:eastAsia="仿宋" w:cs="仿宋"/>
                <w:b w:val="0"/>
                <w:bCs/>
                <w:sz w:val="21"/>
                <w:szCs w:val="22"/>
                <w:highlight w:val="none"/>
                <w:lang w:val="en-US" w:eastAsia="zh-CN" w:bidi="ar-SA"/>
              </w:rPr>
            </w:pPr>
            <w:r>
              <w:rPr>
                <w:rFonts w:hint="eastAsia" w:ascii="仿宋" w:hAnsi="仿宋" w:eastAsia="仿宋" w:cs="仿宋"/>
                <w:b w:val="0"/>
                <w:bCs/>
                <w:sz w:val="21"/>
                <w:szCs w:val="22"/>
                <w:highlight w:val="none"/>
                <w:lang w:val="en-US" w:eastAsia="zh-CN" w:bidi="ar-SA"/>
              </w:rPr>
              <w:t>1</w:t>
            </w:r>
          </w:p>
        </w:tc>
      </w:tr>
      <w:tr w14:paraId="01713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314"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7FE6C287">
            <w:pPr>
              <w:pStyle w:val="41"/>
              <w:snapToGrid w:val="0"/>
              <w:spacing w:line="240" w:lineRule="auto"/>
              <w:ind w:left="0" w:leftChars="0" w:right="0" w:rightChars="0" w:firstLine="0" w:firstLineChars="0"/>
              <w:jc w:val="center"/>
              <w:rPr>
                <w:rFonts w:hint="eastAsia" w:ascii="仿宋" w:hAnsi="仿宋" w:eastAsia="仿宋" w:cs="仿宋"/>
                <w:b w:val="0"/>
                <w:bCs/>
                <w:spacing w:val="-2"/>
                <w:sz w:val="21"/>
                <w:highlight w:val="none"/>
                <w:lang w:val="en-US" w:eastAsia="zh-CN"/>
              </w:rPr>
            </w:pPr>
          </w:p>
        </w:tc>
        <w:tc>
          <w:tcPr>
            <w:tcW w:w="3736" w:type="dxa"/>
            <w:tcBorders>
              <w:top w:val="single" w:color="auto" w:sz="4" w:space="0"/>
              <w:left w:val="single" w:color="auto" w:sz="4" w:space="0"/>
              <w:bottom w:val="single" w:color="auto" w:sz="4" w:space="0"/>
              <w:right w:val="single" w:color="auto" w:sz="4" w:space="0"/>
            </w:tcBorders>
            <w:shd w:val="clear" w:color="auto" w:fill="auto"/>
            <w:vAlign w:val="center"/>
          </w:tcPr>
          <w:p w14:paraId="7AEEEC24">
            <w:pPr>
              <w:pStyle w:val="41"/>
              <w:snapToGrid w:val="0"/>
              <w:spacing w:line="240" w:lineRule="auto"/>
              <w:ind w:left="0" w:leftChars="0" w:right="0" w:rightChars="0" w:firstLine="0" w:firstLineChars="0"/>
              <w:jc w:val="center"/>
              <w:rPr>
                <w:rFonts w:hint="eastAsia" w:ascii="仿宋" w:hAnsi="仿宋" w:eastAsia="仿宋" w:cs="仿宋"/>
                <w:b w:val="0"/>
                <w:bCs/>
                <w:spacing w:val="-2"/>
                <w:sz w:val="21"/>
                <w:highlight w:val="none"/>
                <w:lang w:val="en-US" w:eastAsia="zh-CN"/>
              </w:rPr>
            </w:pPr>
            <w:r>
              <w:rPr>
                <w:rFonts w:hint="eastAsia" w:ascii="仿宋" w:hAnsi="仿宋" w:eastAsia="仿宋" w:cs="仿宋"/>
                <w:b w:val="0"/>
                <w:bCs/>
                <w:spacing w:val="-2"/>
                <w:sz w:val="21"/>
                <w:highlight w:val="none"/>
                <w:lang w:val="en-US" w:eastAsia="zh-CN"/>
              </w:rPr>
              <w:t>监控报警</w:t>
            </w:r>
          </w:p>
        </w:tc>
        <w:tc>
          <w:tcPr>
            <w:tcW w:w="1905" w:type="dxa"/>
            <w:tcBorders>
              <w:top w:val="single" w:color="auto" w:sz="4" w:space="0"/>
              <w:left w:val="single" w:color="auto" w:sz="4" w:space="0"/>
              <w:bottom w:val="single" w:color="auto" w:sz="4" w:space="0"/>
              <w:right w:val="single" w:color="auto" w:sz="12" w:space="0"/>
            </w:tcBorders>
            <w:shd w:val="clear" w:color="auto" w:fill="auto"/>
            <w:vAlign w:val="center"/>
          </w:tcPr>
          <w:p w14:paraId="6DE20F4A">
            <w:pPr>
              <w:pStyle w:val="41"/>
              <w:snapToGrid w:val="0"/>
              <w:spacing w:line="240" w:lineRule="auto"/>
              <w:ind w:left="0" w:leftChars="0" w:right="0" w:rightChars="0" w:firstLine="0" w:firstLineChars="0"/>
              <w:rPr>
                <w:rFonts w:hint="eastAsia" w:ascii="仿宋" w:hAnsi="仿宋" w:eastAsia="仿宋" w:cs="仿宋"/>
                <w:b w:val="0"/>
                <w:bCs/>
                <w:sz w:val="21"/>
                <w:szCs w:val="22"/>
                <w:highlight w:val="none"/>
                <w:lang w:val="en-US" w:eastAsia="zh-CN" w:bidi="ar-SA"/>
              </w:rPr>
            </w:pPr>
            <w:r>
              <w:rPr>
                <w:rFonts w:hint="eastAsia" w:ascii="仿宋" w:hAnsi="仿宋" w:eastAsia="仿宋" w:cs="仿宋"/>
                <w:b w:val="0"/>
                <w:bCs/>
                <w:sz w:val="21"/>
                <w:szCs w:val="22"/>
                <w:highlight w:val="none"/>
                <w:lang w:val="en-US" w:eastAsia="zh-CN" w:bidi="ar-SA"/>
              </w:rPr>
              <w:t>1</w:t>
            </w:r>
          </w:p>
        </w:tc>
      </w:tr>
      <w:tr w14:paraId="7D04B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314" w:type="dxa"/>
            <w:vMerge w:val="restart"/>
            <w:tcBorders>
              <w:top w:val="single" w:color="auto" w:sz="4" w:space="0"/>
              <w:left w:val="single" w:color="auto" w:sz="12" w:space="0"/>
              <w:right w:val="single" w:color="auto" w:sz="4" w:space="0"/>
            </w:tcBorders>
            <w:shd w:val="clear" w:color="auto" w:fill="auto"/>
            <w:vAlign w:val="center"/>
          </w:tcPr>
          <w:p w14:paraId="35A56491">
            <w:pPr>
              <w:pStyle w:val="41"/>
              <w:snapToGrid w:val="0"/>
              <w:spacing w:line="240" w:lineRule="auto"/>
              <w:ind w:left="0" w:leftChars="0" w:right="0" w:rightChars="0" w:firstLine="0" w:firstLineChars="0"/>
              <w:jc w:val="center"/>
              <w:rPr>
                <w:rFonts w:hint="eastAsia" w:ascii="仿宋" w:hAnsi="仿宋" w:eastAsia="仿宋" w:cs="仿宋"/>
                <w:b w:val="0"/>
                <w:bCs/>
                <w:spacing w:val="-2"/>
                <w:sz w:val="21"/>
                <w:highlight w:val="none"/>
                <w:lang w:val="en-US" w:eastAsia="zh-CN"/>
              </w:rPr>
            </w:pPr>
            <w:r>
              <w:rPr>
                <w:rFonts w:hint="eastAsia" w:ascii="仿宋" w:hAnsi="仿宋" w:eastAsia="仿宋" w:cs="仿宋"/>
                <w:b w:val="0"/>
                <w:bCs/>
                <w:spacing w:val="-2"/>
                <w:sz w:val="21"/>
                <w:highlight w:val="none"/>
                <w:lang w:val="en-US" w:eastAsia="zh-CN"/>
              </w:rPr>
              <w:t>发票管理</w:t>
            </w:r>
          </w:p>
        </w:tc>
        <w:tc>
          <w:tcPr>
            <w:tcW w:w="3736" w:type="dxa"/>
            <w:tcBorders>
              <w:top w:val="single" w:color="auto" w:sz="4" w:space="0"/>
              <w:left w:val="single" w:color="auto" w:sz="4" w:space="0"/>
              <w:bottom w:val="single" w:color="auto" w:sz="4" w:space="0"/>
              <w:right w:val="single" w:color="auto" w:sz="4" w:space="0"/>
            </w:tcBorders>
            <w:shd w:val="clear" w:color="auto" w:fill="auto"/>
            <w:vAlign w:val="center"/>
          </w:tcPr>
          <w:p w14:paraId="408BC717">
            <w:pPr>
              <w:pStyle w:val="41"/>
              <w:snapToGrid w:val="0"/>
              <w:spacing w:line="240" w:lineRule="auto"/>
              <w:ind w:left="0" w:leftChars="0" w:right="0" w:rightChars="0" w:firstLine="0" w:firstLineChars="0"/>
              <w:jc w:val="center"/>
              <w:rPr>
                <w:rFonts w:hint="eastAsia" w:ascii="仿宋" w:hAnsi="仿宋" w:eastAsia="仿宋" w:cs="仿宋"/>
                <w:b w:val="0"/>
                <w:bCs/>
                <w:spacing w:val="-2"/>
                <w:sz w:val="21"/>
                <w:highlight w:val="none"/>
                <w:lang w:val="en-US" w:eastAsia="zh-CN"/>
              </w:rPr>
            </w:pPr>
            <w:r>
              <w:rPr>
                <w:rFonts w:hint="eastAsia" w:ascii="仿宋" w:hAnsi="仿宋" w:eastAsia="仿宋" w:cs="仿宋"/>
                <w:b w:val="0"/>
                <w:bCs/>
                <w:spacing w:val="-2"/>
                <w:sz w:val="21"/>
                <w:highlight w:val="none"/>
                <w:lang w:val="en-US" w:eastAsia="zh-CN"/>
              </w:rPr>
              <w:t>收票管理</w:t>
            </w:r>
          </w:p>
        </w:tc>
        <w:tc>
          <w:tcPr>
            <w:tcW w:w="1905" w:type="dxa"/>
            <w:tcBorders>
              <w:top w:val="single" w:color="auto" w:sz="4" w:space="0"/>
              <w:left w:val="single" w:color="auto" w:sz="4" w:space="0"/>
              <w:bottom w:val="single" w:color="auto" w:sz="4" w:space="0"/>
              <w:right w:val="single" w:color="auto" w:sz="12" w:space="0"/>
            </w:tcBorders>
            <w:shd w:val="clear" w:color="auto" w:fill="auto"/>
            <w:vAlign w:val="center"/>
          </w:tcPr>
          <w:p w14:paraId="621C8BE3">
            <w:pPr>
              <w:pStyle w:val="41"/>
              <w:snapToGrid w:val="0"/>
              <w:spacing w:line="240" w:lineRule="auto"/>
              <w:ind w:left="0" w:leftChars="0" w:right="0" w:rightChars="0" w:firstLine="0" w:firstLineChars="0"/>
              <w:rPr>
                <w:rFonts w:hint="eastAsia" w:ascii="仿宋" w:hAnsi="仿宋" w:eastAsia="仿宋" w:cs="仿宋"/>
                <w:b w:val="0"/>
                <w:bCs/>
                <w:spacing w:val="-2"/>
                <w:sz w:val="21"/>
                <w:szCs w:val="20"/>
                <w:highlight w:val="none"/>
                <w:lang w:val="en-US" w:eastAsia="zh-CN" w:bidi="ar-SA"/>
              </w:rPr>
            </w:pPr>
            <w:r>
              <w:rPr>
                <w:rFonts w:hint="eastAsia" w:ascii="仿宋" w:hAnsi="仿宋" w:eastAsia="仿宋" w:cs="仿宋"/>
                <w:b w:val="0"/>
                <w:bCs/>
                <w:spacing w:val="-2"/>
                <w:sz w:val="21"/>
                <w:szCs w:val="20"/>
                <w:highlight w:val="none"/>
                <w:lang w:val="en-US" w:eastAsia="zh-CN" w:bidi="ar-SA"/>
              </w:rPr>
              <w:t>20个税号</w:t>
            </w:r>
          </w:p>
        </w:tc>
      </w:tr>
      <w:tr w14:paraId="7C036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3314" w:type="dxa"/>
            <w:vMerge w:val="continue"/>
            <w:tcBorders>
              <w:left w:val="single" w:color="auto" w:sz="12" w:space="0"/>
              <w:bottom w:val="single" w:color="auto" w:sz="12" w:space="0"/>
              <w:right w:val="single" w:color="auto" w:sz="4" w:space="0"/>
            </w:tcBorders>
            <w:shd w:val="clear" w:color="auto" w:fill="auto"/>
            <w:vAlign w:val="center"/>
          </w:tcPr>
          <w:p w14:paraId="692CA49A">
            <w:pPr>
              <w:pStyle w:val="41"/>
              <w:snapToGrid w:val="0"/>
              <w:spacing w:line="240" w:lineRule="auto"/>
              <w:ind w:left="0" w:leftChars="0" w:right="0" w:rightChars="0" w:firstLine="0" w:firstLineChars="0"/>
              <w:jc w:val="center"/>
              <w:rPr>
                <w:rFonts w:hint="eastAsia" w:ascii="仿宋" w:hAnsi="仿宋" w:eastAsia="仿宋" w:cs="仿宋"/>
                <w:b w:val="0"/>
                <w:bCs/>
                <w:spacing w:val="-2"/>
                <w:sz w:val="21"/>
                <w:highlight w:val="none"/>
                <w:lang w:val="en-US" w:eastAsia="zh-CN"/>
              </w:rPr>
            </w:pPr>
          </w:p>
        </w:tc>
        <w:tc>
          <w:tcPr>
            <w:tcW w:w="3736" w:type="dxa"/>
            <w:tcBorders>
              <w:top w:val="single" w:color="auto" w:sz="4" w:space="0"/>
              <w:left w:val="single" w:color="auto" w:sz="4" w:space="0"/>
              <w:bottom w:val="single" w:color="auto" w:sz="12" w:space="0"/>
              <w:right w:val="single" w:color="auto" w:sz="4" w:space="0"/>
            </w:tcBorders>
            <w:shd w:val="clear" w:color="auto" w:fill="auto"/>
            <w:vAlign w:val="center"/>
          </w:tcPr>
          <w:p w14:paraId="255A5F1D">
            <w:pPr>
              <w:pStyle w:val="41"/>
              <w:snapToGrid w:val="0"/>
              <w:spacing w:line="240" w:lineRule="auto"/>
              <w:ind w:left="0" w:leftChars="0" w:right="0" w:rightChars="0" w:firstLine="0" w:firstLineChars="0"/>
              <w:jc w:val="center"/>
              <w:rPr>
                <w:rFonts w:hint="eastAsia" w:ascii="仿宋" w:hAnsi="仿宋" w:eastAsia="仿宋" w:cs="仿宋"/>
                <w:bCs/>
                <w:spacing w:val="-2"/>
                <w:kern w:val="2"/>
                <w:sz w:val="21"/>
                <w:highlight w:val="none"/>
                <w:lang w:val="en-US" w:eastAsia="zh-CN" w:bidi="ar-SA"/>
              </w:rPr>
            </w:pPr>
            <w:r>
              <w:rPr>
                <w:rFonts w:hint="eastAsia" w:ascii="仿宋" w:hAnsi="仿宋" w:eastAsia="仿宋" w:cs="仿宋"/>
                <w:bCs/>
                <w:spacing w:val="-2"/>
                <w:sz w:val="21"/>
                <w:highlight w:val="none"/>
                <w:lang w:val="en-US" w:eastAsia="zh-CN"/>
              </w:rPr>
              <w:t>发票校验份数（0.2元/份）</w:t>
            </w:r>
          </w:p>
        </w:tc>
        <w:tc>
          <w:tcPr>
            <w:tcW w:w="1905" w:type="dxa"/>
            <w:tcBorders>
              <w:top w:val="single" w:color="auto" w:sz="4" w:space="0"/>
              <w:left w:val="single" w:color="auto" w:sz="4" w:space="0"/>
              <w:bottom w:val="single" w:color="auto" w:sz="12" w:space="0"/>
              <w:right w:val="single" w:color="auto" w:sz="12" w:space="0"/>
            </w:tcBorders>
            <w:shd w:val="clear" w:color="auto" w:fill="auto"/>
            <w:vAlign w:val="center"/>
          </w:tcPr>
          <w:p w14:paraId="32AE4AA3">
            <w:pPr>
              <w:pStyle w:val="41"/>
              <w:snapToGrid w:val="0"/>
              <w:spacing w:line="240" w:lineRule="auto"/>
              <w:ind w:left="0" w:leftChars="0" w:right="0" w:rightChars="0" w:firstLine="0" w:firstLineChars="0"/>
              <w:rPr>
                <w:rFonts w:hint="default" w:ascii="仿宋" w:hAnsi="仿宋" w:eastAsia="仿宋" w:cs="仿宋"/>
                <w:b w:val="0"/>
                <w:bCs/>
                <w:spacing w:val="-2"/>
                <w:sz w:val="21"/>
                <w:szCs w:val="20"/>
                <w:highlight w:val="none"/>
                <w:lang w:val="en-US" w:eastAsia="zh-CN" w:bidi="ar-SA"/>
              </w:rPr>
            </w:pPr>
            <w:r>
              <w:rPr>
                <w:rFonts w:hint="eastAsia" w:ascii="仿宋" w:hAnsi="仿宋" w:eastAsia="仿宋" w:cs="仿宋"/>
                <w:b w:val="0"/>
                <w:bCs/>
                <w:spacing w:val="-2"/>
                <w:sz w:val="21"/>
                <w:szCs w:val="20"/>
                <w:highlight w:val="none"/>
                <w:lang w:val="en-US" w:eastAsia="zh-CN" w:bidi="ar-SA"/>
              </w:rPr>
              <w:t>10万份</w:t>
            </w:r>
          </w:p>
        </w:tc>
      </w:tr>
    </w:tbl>
    <w:p w14:paraId="381CA409">
      <w:pPr>
        <w:ind w:left="0" w:leftChars="0" w:firstLine="0" w:firstLineChars="0"/>
        <w:jc w:val="both"/>
        <w:rPr>
          <w:rFonts w:hint="eastAsia" w:ascii="仿宋_GB2312" w:hAnsi="仿宋_GB2312" w:eastAsia="仿宋_GB2312" w:cs="仿宋_GB2312"/>
          <w:b w:val="0"/>
          <w:bCs/>
          <w:color w:val="auto"/>
          <w:highlight w:val="none"/>
        </w:rPr>
      </w:pPr>
    </w:p>
    <w:sectPr>
      <w:pgSz w:w="11905" w:h="16838"/>
      <w:pgMar w:top="1417" w:right="1814" w:bottom="1417" w:left="1814" w:header="850" w:footer="992" w:gutter="0"/>
      <w:pgBorders>
        <w:top w:val="none" w:sz="0" w:space="0"/>
        <w:left w:val="none" w:sz="0" w:space="0"/>
        <w:bottom w:val="none" w:sz="0" w:space="0"/>
        <w:right w:val="none" w:sz="0" w:space="0"/>
      </w:pgBorders>
      <w:pgNumType w:fmt="decimal"/>
      <w:cols w:space="0" w:num="1"/>
      <w:rtlGutter w:val="0"/>
      <w:docGrid w:type="linesAndChars" w:linePitch="33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F0EDF">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51B34">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C2AEF">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207ECA">
                          <w:pPr>
                            <w:pStyle w:val="18"/>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54EKk3gEAAL8DAAAOAAAAAAAA&#10;AAEAIAAAAB4BAABkcnMvZTJvRG9jLnhtbFBLBQYAAAAABgAGAFkBAABuBQAAAAA=&#10;">
              <v:fill on="f" focussize="0,0"/>
              <v:stroke on="f"/>
              <v:imagedata o:title=""/>
              <o:lock v:ext="edit" aspectratio="f"/>
              <v:textbox inset="0mm,0mm,0mm,0mm" style="mso-fit-shape-to-text:t;">
                <w:txbxContent>
                  <w:p w14:paraId="02207ECA">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342D7">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15F95A">
                          <w:pPr>
                            <w:pStyle w:val="18"/>
                          </w:pPr>
                          <w:r>
                            <w:fldChar w:fldCharType="begin"/>
                          </w:r>
                          <w:r>
                            <w:instrText xml:space="preserve"> PAGE  \* MERGEFORMAT </w:instrText>
                          </w:r>
                          <w:r>
                            <w:fldChar w:fldCharType="separate"/>
                          </w:r>
                          <w:r>
                            <w:t>5</w:t>
                          </w:r>
                          <w:r>
                            <w:fldChar w:fldCharType="end"/>
                          </w:r>
                        </w:p>
                      </w:txbxContent>
                    </wps:txbx>
                    <wps:bodyPr vert="horz" wrap="none" lIns="0" tIns="0" rIns="0" bIns="0" anchor="t" anchorCtr="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t172598BAAC/AwAADgAAAAAA&#10;AAABACAAAAAeAQAAZHJzL2Uyb0RvYy54bWxQSwUGAAAAAAYABgBZAQAAbwUAAAAA&#10;">
              <v:fill on="f" focussize="0,0"/>
              <v:stroke on="f"/>
              <v:imagedata o:title=""/>
              <o:lock v:ext="edit" aspectratio="f"/>
              <v:textbox inset="0mm,0mm,0mm,0mm" style="mso-fit-shape-to-text:t;">
                <w:txbxContent>
                  <w:p w14:paraId="7115F95A">
                    <w:pPr>
                      <w:pStyle w:val="1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D5164">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D27F33">
                          <w:pPr>
                            <w:pStyle w:val="18"/>
                          </w:pPr>
                          <w:r>
                            <w:fldChar w:fldCharType="begin"/>
                          </w:r>
                          <w:r>
                            <w:instrText xml:space="preserve"> PAGE  \* MERGEFORMAT </w:instrText>
                          </w:r>
                          <w:r>
                            <w:fldChar w:fldCharType="separate"/>
                          </w:r>
                          <w:r>
                            <w:t>6</w:t>
                          </w:r>
                          <w:r>
                            <w:fldChar w:fldCharType="end"/>
                          </w:r>
                        </w:p>
                      </w:txbxContent>
                    </wps:txbx>
                    <wps:bodyPr vert="horz" wrap="none" lIns="0" tIns="0" rIns="0" bIns="0" anchor="t" anchorCtr="0" upright="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YsLxAt8BAAC/AwAADgAAAAAA&#10;AAABACAAAAAeAQAAZHJzL2Uyb0RvYy54bWxQSwUGAAAAAAYABgBZAQAAbwUAAAAA&#10;">
              <v:fill on="f" focussize="0,0"/>
              <v:stroke on="f"/>
              <v:imagedata o:title=""/>
              <o:lock v:ext="edit" aspectratio="f"/>
              <v:textbox inset="0mm,0mm,0mm,0mm" style="mso-fit-shape-to-text:t;">
                <w:txbxContent>
                  <w:p w14:paraId="17D27F33">
                    <w:pPr>
                      <w:pStyle w:val="18"/>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277AF">
    <w:pPr>
      <w:pStyle w:val="18"/>
      <w:framePr w:wrap="around" w:vAnchor="text" w:hAnchor="margin" w:xAlign="center" w:y="1"/>
      <w:rPr>
        <w:rStyle w:val="28"/>
      </w:rPr>
    </w:pPr>
    <w:r>
      <w:fldChar w:fldCharType="begin"/>
    </w:r>
    <w:r>
      <w:rPr>
        <w:rStyle w:val="28"/>
      </w:rPr>
      <w:instrText xml:space="preserve">PAGE  </w:instrText>
    </w:r>
    <w:r>
      <w:fldChar w:fldCharType="end"/>
    </w:r>
  </w:p>
  <w:p w14:paraId="33FEF98C">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F4838">
    <w:pPr>
      <w:pStyle w:val="18"/>
      <w:ind w:right="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2DA303">
                          <w:pPr>
                            <w:pStyle w:val="18"/>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JZ0rI98BAAC/AwAADgAAAAAA&#10;AAABACAAAAAeAQAAZHJzL2Uyb0RvYy54bWxQSwUGAAAAAAYABgBZAQAAbwUAAAAA&#10;">
              <v:fill on="f" focussize="0,0"/>
              <v:stroke on="f"/>
              <v:imagedata o:title=""/>
              <o:lock v:ext="edit" aspectratio="f"/>
              <v:textbox inset="0mm,0mm,0mm,0mm" style="mso-fit-shape-to-text:t;">
                <w:txbxContent>
                  <w:p w14:paraId="772DA303">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EDFEC">
    <w:pPr>
      <w:pStyle w:val="18"/>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625382">
                          <w:pPr>
                            <w:pStyle w:val="18"/>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sfEVB3gEAAL8DAAAOAAAAAAAA&#10;AAEAIAAAAB4BAABkcnMvZTJvRG9jLnhtbFBLBQYAAAAABgAGAFkBAABuBQAAAAA=&#10;">
              <v:fill on="f" focussize="0,0"/>
              <v:stroke on="f"/>
              <v:imagedata o:title=""/>
              <o:lock v:ext="edit" aspectratio="f"/>
              <v:textbox inset="0mm,0mm,0mm,0mm" style="mso-fit-shape-to-text:t;">
                <w:txbxContent>
                  <w:p w14:paraId="1C625382">
                    <w:pPr>
                      <w:pStyle w:val="1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7CA9C">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4181A">
    <w:pPr>
      <w:pBdr>
        <w:bottom w:val="none" w:color="auto" w:sz="0" w:space="1"/>
      </w:pBdr>
      <w:tabs>
        <w:tab w:val="left" w:pos="2078"/>
      </w:tabs>
      <w:snapToGrid w:val="0"/>
      <w:rPr>
        <w:rFonts w:hint="eastAsia" w:eastAsia="宋体"/>
        <w:sz w:val="18"/>
        <w:lang w:eastAsia="zh-CN"/>
      </w:rPr>
    </w:pPr>
    <w:r>
      <w:rPr>
        <w:rFonts w:hint="eastAsia"/>
        <w:sz w:val="18"/>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9DA68">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12E2E">
    <w:pPr>
      <w:pStyle w:val="19"/>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0C67B"/>
    <w:multiLevelType w:val="singleLevel"/>
    <w:tmpl w:val="1D30C67B"/>
    <w:lvl w:ilvl="0" w:tentative="0">
      <w:start w:val="1"/>
      <w:numFmt w:val="chineseCounting"/>
      <w:pStyle w:val="3"/>
      <w:suff w:val="nothing"/>
      <w:lvlText w:val="%1、"/>
      <w:lvlJc w:val="left"/>
      <w:pPr>
        <w:ind w:left="156" w:firstLine="420"/>
      </w:pPr>
      <w:rPr>
        <w:rFonts w:hint="eastAsia"/>
      </w:rPr>
    </w:lvl>
  </w:abstractNum>
  <w:abstractNum w:abstractNumId="1">
    <w:nsid w:val="5E10485D"/>
    <w:multiLevelType w:val="multilevel"/>
    <w:tmpl w:val="5E10485D"/>
    <w:lvl w:ilvl="0" w:tentative="0">
      <w:start w:val="1"/>
      <w:numFmt w:val="japaneseCounting"/>
      <w:lvlText w:val="第%1章"/>
      <w:lvlJc w:val="left"/>
      <w:pPr>
        <w:tabs>
          <w:tab w:val="left" w:pos="660"/>
        </w:tabs>
        <w:ind w:left="1320" w:hanging="840"/>
      </w:pPr>
      <w:rPr>
        <w:rFonts w:hint="eastAsia"/>
      </w:rPr>
    </w:lvl>
    <w:lvl w:ilvl="1" w:tentative="0">
      <w:start w:val="1"/>
      <w:numFmt w:val="decimal"/>
      <w:lvlText w:val="%2）"/>
      <w:lvlJc w:val="left"/>
      <w:pPr>
        <w:tabs>
          <w:tab w:val="left" w:pos="600"/>
        </w:tabs>
        <w:ind w:left="1020" w:hanging="360"/>
      </w:pPr>
      <w:rPr>
        <w:rFonts w:hint="eastAsia"/>
      </w:rPr>
    </w:lvl>
    <w:lvl w:ilvl="2" w:tentative="0">
      <w:start w:val="1"/>
      <w:numFmt w:val="lowerRoman"/>
      <w:lvlText w:val="%3."/>
      <w:lvlJc w:val="right"/>
      <w:pPr>
        <w:tabs>
          <w:tab w:val="left" w:pos="1080"/>
        </w:tabs>
        <w:ind w:left="1500" w:hanging="420"/>
      </w:pPr>
    </w:lvl>
    <w:lvl w:ilvl="3" w:tentative="0">
      <w:start w:val="1"/>
      <w:numFmt w:val="decimal"/>
      <w:lvlText w:val="%4."/>
      <w:lvlJc w:val="left"/>
      <w:pPr>
        <w:tabs>
          <w:tab w:val="left" w:pos="1500"/>
        </w:tabs>
        <w:ind w:left="1920" w:hanging="420"/>
      </w:pPr>
    </w:lvl>
    <w:lvl w:ilvl="4" w:tentative="0">
      <w:start w:val="1"/>
      <w:numFmt w:val="lowerLetter"/>
      <w:lvlText w:val="%5)"/>
      <w:lvlJc w:val="left"/>
      <w:pPr>
        <w:tabs>
          <w:tab w:val="left" w:pos="1920"/>
        </w:tabs>
        <w:ind w:left="2340" w:hanging="420"/>
      </w:pPr>
    </w:lvl>
    <w:lvl w:ilvl="5" w:tentative="0">
      <w:start w:val="1"/>
      <w:numFmt w:val="lowerRoman"/>
      <w:lvlText w:val="%6."/>
      <w:lvlJc w:val="right"/>
      <w:pPr>
        <w:tabs>
          <w:tab w:val="left" w:pos="2340"/>
        </w:tabs>
        <w:ind w:left="2760" w:hanging="420"/>
      </w:pPr>
    </w:lvl>
    <w:lvl w:ilvl="6" w:tentative="0">
      <w:start w:val="1"/>
      <w:numFmt w:val="decimal"/>
      <w:lvlText w:val="%7."/>
      <w:lvlJc w:val="left"/>
      <w:pPr>
        <w:tabs>
          <w:tab w:val="left" w:pos="2760"/>
        </w:tabs>
        <w:ind w:left="3180" w:hanging="420"/>
      </w:pPr>
    </w:lvl>
    <w:lvl w:ilvl="7" w:tentative="0">
      <w:start w:val="1"/>
      <w:numFmt w:val="lowerLetter"/>
      <w:lvlText w:val="%8)"/>
      <w:lvlJc w:val="left"/>
      <w:pPr>
        <w:tabs>
          <w:tab w:val="left" w:pos="3180"/>
        </w:tabs>
        <w:ind w:left="3600" w:hanging="420"/>
      </w:pPr>
    </w:lvl>
    <w:lvl w:ilvl="8" w:tentative="0">
      <w:start w:val="1"/>
      <w:numFmt w:val="lowerRoman"/>
      <w:lvlText w:val="%9."/>
      <w:lvlJc w:val="right"/>
      <w:pPr>
        <w:tabs>
          <w:tab w:val="left" w:pos="3600"/>
        </w:tabs>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readOnly" w:enforcement="0"/>
  <w:defaultTabStop w:val="420"/>
  <w:hyphenationZone w:val="360"/>
  <w:drawingGridHorizontalSpacing w:val="24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0YTJkN2E5OTkwYTcxZmI4ZWZlMDI5YzJhYjlhZDAifQ=="/>
  </w:docVars>
  <w:rsids>
    <w:rsidRoot w:val="708A1429"/>
    <w:rsid w:val="00522102"/>
    <w:rsid w:val="00940213"/>
    <w:rsid w:val="011E4215"/>
    <w:rsid w:val="01632DAE"/>
    <w:rsid w:val="01B85F94"/>
    <w:rsid w:val="01D60B10"/>
    <w:rsid w:val="01D9415D"/>
    <w:rsid w:val="022655F4"/>
    <w:rsid w:val="02355837"/>
    <w:rsid w:val="024A0BB7"/>
    <w:rsid w:val="02A227A1"/>
    <w:rsid w:val="02AD361F"/>
    <w:rsid w:val="030671D3"/>
    <w:rsid w:val="03096E9A"/>
    <w:rsid w:val="031E626A"/>
    <w:rsid w:val="03463A74"/>
    <w:rsid w:val="03547F3F"/>
    <w:rsid w:val="03F2214F"/>
    <w:rsid w:val="040B6762"/>
    <w:rsid w:val="043F34E2"/>
    <w:rsid w:val="04561A95"/>
    <w:rsid w:val="045A3333"/>
    <w:rsid w:val="04677ABA"/>
    <w:rsid w:val="047D7FE1"/>
    <w:rsid w:val="04E11CA6"/>
    <w:rsid w:val="04EE4194"/>
    <w:rsid w:val="04F067D4"/>
    <w:rsid w:val="0530678A"/>
    <w:rsid w:val="05687CD1"/>
    <w:rsid w:val="05BB4FA2"/>
    <w:rsid w:val="060E2670"/>
    <w:rsid w:val="064E5119"/>
    <w:rsid w:val="06690F8C"/>
    <w:rsid w:val="06D80D73"/>
    <w:rsid w:val="070B0F08"/>
    <w:rsid w:val="0744651C"/>
    <w:rsid w:val="076170CE"/>
    <w:rsid w:val="07BB67DE"/>
    <w:rsid w:val="07BE682A"/>
    <w:rsid w:val="07D03DA8"/>
    <w:rsid w:val="0816514D"/>
    <w:rsid w:val="08566507"/>
    <w:rsid w:val="08AC57F9"/>
    <w:rsid w:val="094B6120"/>
    <w:rsid w:val="097204BB"/>
    <w:rsid w:val="0AA51394"/>
    <w:rsid w:val="0AC43BFC"/>
    <w:rsid w:val="0AC92FC0"/>
    <w:rsid w:val="0B444D3D"/>
    <w:rsid w:val="0B616AF0"/>
    <w:rsid w:val="0B6B04D4"/>
    <w:rsid w:val="0B836283"/>
    <w:rsid w:val="0BDA2FAB"/>
    <w:rsid w:val="0C063DA0"/>
    <w:rsid w:val="0C3B1C9C"/>
    <w:rsid w:val="0C4843B9"/>
    <w:rsid w:val="0C6E7A55"/>
    <w:rsid w:val="0CA830A9"/>
    <w:rsid w:val="0CF167FE"/>
    <w:rsid w:val="0D1E02B9"/>
    <w:rsid w:val="0D5A6A85"/>
    <w:rsid w:val="0D7001E9"/>
    <w:rsid w:val="0DBD5079"/>
    <w:rsid w:val="0DD1346B"/>
    <w:rsid w:val="0DDA3736"/>
    <w:rsid w:val="0DF5586B"/>
    <w:rsid w:val="0E0F33E0"/>
    <w:rsid w:val="0E1F3206"/>
    <w:rsid w:val="0E2A1FC8"/>
    <w:rsid w:val="0E830373"/>
    <w:rsid w:val="0F476BAA"/>
    <w:rsid w:val="0F683A31"/>
    <w:rsid w:val="0FCC2910"/>
    <w:rsid w:val="106A6FF4"/>
    <w:rsid w:val="10944070"/>
    <w:rsid w:val="109F4F27"/>
    <w:rsid w:val="11561C10"/>
    <w:rsid w:val="118F65E6"/>
    <w:rsid w:val="11A251EB"/>
    <w:rsid w:val="11C95F9C"/>
    <w:rsid w:val="121C2BCD"/>
    <w:rsid w:val="1235718D"/>
    <w:rsid w:val="127A1044"/>
    <w:rsid w:val="139B74C4"/>
    <w:rsid w:val="13C609E5"/>
    <w:rsid w:val="13CE63EB"/>
    <w:rsid w:val="143C2A55"/>
    <w:rsid w:val="149D101A"/>
    <w:rsid w:val="14D85637"/>
    <w:rsid w:val="14F25809"/>
    <w:rsid w:val="15527CC1"/>
    <w:rsid w:val="155B3295"/>
    <w:rsid w:val="156F6E5A"/>
    <w:rsid w:val="159A651C"/>
    <w:rsid w:val="16055AF7"/>
    <w:rsid w:val="164911D0"/>
    <w:rsid w:val="16493207"/>
    <w:rsid w:val="165F0C7D"/>
    <w:rsid w:val="16D90A2F"/>
    <w:rsid w:val="16F922F3"/>
    <w:rsid w:val="1724248E"/>
    <w:rsid w:val="17854713"/>
    <w:rsid w:val="18441ED8"/>
    <w:rsid w:val="186F700B"/>
    <w:rsid w:val="18AC5CCF"/>
    <w:rsid w:val="18D7453A"/>
    <w:rsid w:val="18E216F1"/>
    <w:rsid w:val="193E53E6"/>
    <w:rsid w:val="19F7608A"/>
    <w:rsid w:val="1A706330"/>
    <w:rsid w:val="1A750A6F"/>
    <w:rsid w:val="1AB225EC"/>
    <w:rsid w:val="1AD40FAE"/>
    <w:rsid w:val="1B402F36"/>
    <w:rsid w:val="1B5A7C65"/>
    <w:rsid w:val="1B5E0712"/>
    <w:rsid w:val="1B754A9E"/>
    <w:rsid w:val="1B77392F"/>
    <w:rsid w:val="1BCD48DA"/>
    <w:rsid w:val="1BEE6D2B"/>
    <w:rsid w:val="1C6964E9"/>
    <w:rsid w:val="1CC161ED"/>
    <w:rsid w:val="1D977656"/>
    <w:rsid w:val="1DEC7CFD"/>
    <w:rsid w:val="1E110AAE"/>
    <w:rsid w:val="1E1466B1"/>
    <w:rsid w:val="1E325779"/>
    <w:rsid w:val="1E4029E7"/>
    <w:rsid w:val="1F2E38E2"/>
    <w:rsid w:val="1F817EB6"/>
    <w:rsid w:val="1F851D48"/>
    <w:rsid w:val="1F9F033C"/>
    <w:rsid w:val="202775F3"/>
    <w:rsid w:val="20427645"/>
    <w:rsid w:val="20482782"/>
    <w:rsid w:val="20914128"/>
    <w:rsid w:val="20C91B14"/>
    <w:rsid w:val="20CA763A"/>
    <w:rsid w:val="20F36CDF"/>
    <w:rsid w:val="210668C5"/>
    <w:rsid w:val="22600256"/>
    <w:rsid w:val="22714212"/>
    <w:rsid w:val="22E85D61"/>
    <w:rsid w:val="236E0751"/>
    <w:rsid w:val="237A1EED"/>
    <w:rsid w:val="23E12CD1"/>
    <w:rsid w:val="2462480C"/>
    <w:rsid w:val="246D0A09"/>
    <w:rsid w:val="249059E1"/>
    <w:rsid w:val="2495013F"/>
    <w:rsid w:val="24D92D93"/>
    <w:rsid w:val="251D5F8B"/>
    <w:rsid w:val="25223954"/>
    <w:rsid w:val="25352973"/>
    <w:rsid w:val="2586487A"/>
    <w:rsid w:val="25A4045A"/>
    <w:rsid w:val="25C1725E"/>
    <w:rsid w:val="26422CF6"/>
    <w:rsid w:val="2683215D"/>
    <w:rsid w:val="26832765"/>
    <w:rsid w:val="26892C33"/>
    <w:rsid w:val="269F0C21"/>
    <w:rsid w:val="26A30712"/>
    <w:rsid w:val="27076EF2"/>
    <w:rsid w:val="28101DD7"/>
    <w:rsid w:val="28157218"/>
    <w:rsid w:val="28302479"/>
    <w:rsid w:val="2852419D"/>
    <w:rsid w:val="28F173D9"/>
    <w:rsid w:val="28F548CE"/>
    <w:rsid w:val="2907020B"/>
    <w:rsid w:val="290A4A78"/>
    <w:rsid w:val="294206B6"/>
    <w:rsid w:val="298056C6"/>
    <w:rsid w:val="2A7F3244"/>
    <w:rsid w:val="2AD40D60"/>
    <w:rsid w:val="2AD439D4"/>
    <w:rsid w:val="2B1971F4"/>
    <w:rsid w:val="2BA411B4"/>
    <w:rsid w:val="2BBB64FD"/>
    <w:rsid w:val="2BF95138"/>
    <w:rsid w:val="2C0C6D59"/>
    <w:rsid w:val="2C4E7372"/>
    <w:rsid w:val="2C5D1363"/>
    <w:rsid w:val="2C7F4490"/>
    <w:rsid w:val="2C9C1C83"/>
    <w:rsid w:val="2DCC2C44"/>
    <w:rsid w:val="2DD0597E"/>
    <w:rsid w:val="2E5F13C2"/>
    <w:rsid w:val="2E8B21B7"/>
    <w:rsid w:val="2EDE2C2F"/>
    <w:rsid w:val="2F2919D0"/>
    <w:rsid w:val="300C2731"/>
    <w:rsid w:val="301B57BD"/>
    <w:rsid w:val="30647164"/>
    <w:rsid w:val="30782C0F"/>
    <w:rsid w:val="309A5793"/>
    <w:rsid w:val="30C8448F"/>
    <w:rsid w:val="30CA4A65"/>
    <w:rsid w:val="310E0E7D"/>
    <w:rsid w:val="314F1BC2"/>
    <w:rsid w:val="318A4EAB"/>
    <w:rsid w:val="31A34D26"/>
    <w:rsid w:val="32311455"/>
    <w:rsid w:val="32333292"/>
    <w:rsid w:val="32560339"/>
    <w:rsid w:val="32836703"/>
    <w:rsid w:val="32A45FA2"/>
    <w:rsid w:val="32BA750F"/>
    <w:rsid w:val="32CA32CF"/>
    <w:rsid w:val="32F32A21"/>
    <w:rsid w:val="33134E71"/>
    <w:rsid w:val="332C1A8F"/>
    <w:rsid w:val="333D08D1"/>
    <w:rsid w:val="33523AD9"/>
    <w:rsid w:val="335A65FC"/>
    <w:rsid w:val="33E365F1"/>
    <w:rsid w:val="348E2A01"/>
    <w:rsid w:val="34B8182C"/>
    <w:rsid w:val="34E940DB"/>
    <w:rsid w:val="34FF56AD"/>
    <w:rsid w:val="358B19F4"/>
    <w:rsid w:val="35A20B1F"/>
    <w:rsid w:val="36274EBB"/>
    <w:rsid w:val="36826596"/>
    <w:rsid w:val="368A370A"/>
    <w:rsid w:val="369D6F2B"/>
    <w:rsid w:val="36C4095C"/>
    <w:rsid w:val="36FC5F03"/>
    <w:rsid w:val="377554E6"/>
    <w:rsid w:val="37D458FE"/>
    <w:rsid w:val="37EB3CC7"/>
    <w:rsid w:val="38237904"/>
    <w:rsid w:val="384A30E3"/>
    <w:rsid w:val="38C13A7F"/>
    <w:rsid w:val="38DA3388"/>
    <w:rsid w:val="3910619A"/>
    <w:rsid w:val="39663F4D"/>
    <w:rsid w:val="398E5251"/>
    <w:rsid w:val="39AE144A"/>
    <w:rsid w:val="39BA60FF"/>
    <w:rsid w:val="39DE1D35"/>
    <w:rsid w:val="3A1A4D37"/>
    <w:rsid w:val="3A854074"/>
    <w:rsid w:val="3A944802"/>
    <w:rsid w:val="3AA346AE"/>
    <w:rsid w:val="3B0A4DAB"/>
    <w:rsid w:val="3B1B0D67"/>
    <w:rsid w:val="3BAC459E"/>
    <w:rsid w:val="3BC907C3"/>
    <w:rsid w:val="3C1646F1"/>
    <w:rsid w:val="3C271317"/>
    <w:rsid w:val="3C2E78F4"/>
    <w:rsid w:val="3C355E58"/>
    <w:rsid w:val="3C517C15"/>
    <w:rsid w:val="3D2F0AF9"/>
    <w:rsid w:val="3DD60F75"/>
    <w:rsid w:val="3DDC6A43"/>
    <w:rsid w:val="3DF4158B"/>
    <w:rsid w:val="3DF9413C"/>
    <w:rsid w:val="3E3A59A8"/>
    <w:rsid w:val="3E5E3444"/>
    <w:rsid w:val="3EB43064"/>
    <w:rsid w:val="3F133D58"/>
    <w:rsid w:val="3F406FEE"/>
    <w:rsid w:val="3F43088C"/>
    <w:rsid w:val="3F4C7741"/>
    <w:rsid w:val="3F731171"/>
    <w:rsid w:val="3F830C89"/>
    <w:rsid w:val="3FAB5528"/>
    <w:rsid w:val="3FB3156E"/>
    <w:rsid w:val="3FBA2F1A"/>
    <w:rsid w:val="3FC75019"/>
    <w:rsid w:val="403F72A5"/>
    <w:rsid w:val="40A8081E"/>
    <w:rsid w:val="40D551E1"/>
    <w:rsid w:val="40F356DF"/>
    <w:rsid w:val="411A1557"/>
    <w:rsid w:val="41520244"/>
    <w:rsid w:val="417E2B22"/>
    <w:rsid w:val="418331C2"/>
    <w:rsid w:val="41931657"/>
    <w:rsid w:val="419378A9"/>
    <w:rsid w:val="42145642"/>
    <w:rsid w:val="424010B3"/>
    <w:rsid w:val="4244393A"/>
    <w:rsid w:val="425B13DD"/>
    <w:rsid w:val="425C5EED"/>
    <w:rsid w:val="42A15FF5"/>
    <w:rsid w:val="43170066"/>
    <w:rsid w:val="43E51F12"/>
    <w:rsid w:val="43E53CC0"/>
    <w:rsid w:val="43FE4D82"/>
    <w:rsid w:val="447F3631"/>
    <w:rsid w:val="45062140"/>
    <w:rsid w:val="458539AC"/>
    <w:rsid w:val="45992FB4"/>
    <w:rsid w:val="45E06E35"/>
    <w:rsid w:val="45FB050A"/>
    <w:rsid w:val="4601445D"/>
    <w:rsid w:val="4605689B"/>
    <w:rsid w:val="4613447B"/>
    <w:rsid w:val="462A00B0"/>
    <w:rsid w:val="463158E2"/>
    <w:rsid w:val="46BE7597"/>
    <w:rsid w:val="46BF2EEE"/>
    <w:rsid w:val="471054F8"/>
    <w:rsid w:val="47743CD8"/>
    <w:rsid w:val="4777746B"/>
    <w:rsid w:val="47B70069"/>
    <w:rsid w:val="47C87B80"/>
    <w:rsid w:val="47EB386F"/>
    <w:rsid w:val="47EE136D"/>
    <w:rsid w:val="47F23BD2"/>
    <w:rsid w:val="4856705C"/>
    <w:rsid w:val="487428B0"/>
    <w:rsid w:val="48931F3C"/>
    <w:rsid w:val="48A34513"/>
    <w:rsid w:val="48F50E49"/>
    <w:rsid w:val="49A4167F"/>
    <w:rsid w:val="49C6428D"/>
    <w:rsid w:val="49FB4E15"/>
    <w:rsid w:val="4A2222E2"/>
    <w:rsid w:val="4A2E2633"/>
    <w:rsid w:val="4A472839"/>
    <w:rsid w:val="4A4B4485"/>
    <w:rsid w:val="4A510301"/>
    <w:rsid w:val="4A805056"/>
    <w:rsid w:val="4A9D282C"/>
    <w:rsid w:val="4AC779BE"/>
    <w:rsid w:val="4AEE3DA2"/>
    <w:rsid w:val="4B013AD5"/>
    <w:rsid w:val="4B920BD1"/>
    <w:rsid w:val="4BEF5A2C"/>
    <w:rsid w:val="4C025C01"/>
    <w:rsid w:val="4C0B085C"/>
    <w:rsid w:val="4C1A7C20"/>
    <w:rsid w:val="4CB65017"/>
    <w:rsid w:val="4CBF59F6"/>
    <w:rsid w:val="4D122841"/>
    <w:rsid w:val="4D27775A"/>
    <w:rsid w:val="4D3961C4"/>
    <w:rsid w:val="4E2D698F"/>
    <w:rsid w:val="4F275AD4"/>
    <w:rsid w:val="4F4C553B"/>
    <w:rsid w:val="4F5C71CF"/>
    <w:rsid w:val="4F706A2F"/>
    <w:rsid w:val="4F72022B"/>
    <w:rsid w:val="4F8B6063"/>
    <w:rsid w:val="4FC155E1"/>
    <w:rsid w:val="4FCB3407"/>
    <w:rsid w:val="4FCB6460"/>
    <w:rsid w:val="4FFA4F97"/>
    <w:rsid w:val="50C555A5"/>
    <w:rsid w:val="518C7E71"/>
    <w:rsid w:val="51CC6A07"/>
    <w:rsid w:val="523C0FFC"/>
    <w:rsid w:val="52794227"/>
    <w:rsid w:val="52A631B4"/>
    <w:rsid w:val="52CA0C50"/>
    <w:rsid w:val="53165C44"/>
    <w:rsid w:val="537868FE"/>
    <w:rsid w:val="53830EF0"/>
    <w:rsid w:val="53EC17A3"/>
    <w:rsid w:val="541303D5"/>
    <w:rsid w:val="54336CC9"/>
    <w:rsid w:val="545A4256"/>
    <w:rsid w:val="54804D76"/>
    <w:rsid w:val="54857525"/>
    <w:rsid w:val="54C13A1C"/>
    <w:rsid w:val="54D43CB2"/>
    <w:rsid w:val="54EF0E42"/>
    <w:rsid w:val="55287EB0"/>
    <w:rsid w:val="55627866"/>
    <w:rsid w:val="55FB3513"/>
    <w:rsid w:val="563C00B7"/>
    <w:rsid w:val="56DF6C95"/>
    <w:rsid w:val="570C5CDB"/>
    <w:rsid w:val="572648C3"/>
    <w:rsid w:val="57360A85"/>
    <w:rsid w:val="577473DD"/>
    <w:rsid w:val="58244448"/>
    <w:rsid w:val="583059FA"/>
    <w:rsid w:val="58951D01"/>
    <w:rsid w:val="58B7465E"/>
    <w:rsid w:val="590155C6"/>
    <w:rsid w:val="592210D0"/>
    <w:rsid w:val="5943350B"/>
    <w:rsid w:val="594753EA"/>
    <w:rsid w:val="59481887"/>
    <w:rsid w:val="596D0588"/>
    <w:rsid w:val="59B461B6"/>
    <w:rsid w:val="59C83A10"/>
    <w:rsid w:val="59DB1995"/>
    <w:rsid w:val="5A403808"/>
    <w:rsid w:val="5A4E2167"/>
    <w:rsid w:val="5A533C21"/>
    <w:rsid w:val="5A550E61"/>
    <w:rsid w:val="5A5B167C"/>
    <w:rsid w:val="5AF54111"/>
    <w:rsid w:val="5B5865F6"/>
    <w:rsid w:val="5B835394"/>
    <w:rsid w:val="5B8D6CBF"/>
    <w:rsid w:val="5B991B08"/>
    <w:rsid w:val="5BBB1A7E"/>
    <w:rsid w:val="5BBC3600"/>
    <w:rsid w:val="5BD10994"/>
    <w:rsid w:val="5BEE11DF"/>
    <w:rsid w:val="5C3C465E"/>
    <w:rsid w:val="5C966047"/>
    <w:rsid w:val="5C9F4EFC"/>
    <w:rsid w:val="5CA00C74"/>
    <w:rsid w:val="5CB95A1D"/>
    <w:rsid w:val="5CCA14C8"/>
    <w:rsid w:val="5CD646ED"/>
    <w:rsid w:val="5D4F011B"/>
    <w:rsid w:val="5DA80FDB"/>
    <w:rsid w:val="5EC40C4A"/>
    <w:rsid w:val="5F2E0877"/>
    <w:rsid w:val="5F5A15AE"/>
    <w:rsid w:val="5FCC5F72"/>
    <w:rsid w:val="60714E01"/>
    <w:rsid w:val="611D6D37"/>
    <w:rsid w:val="617C3171"/>
    <w:rsid w:val="621B7A4C"/>
    <w:rsid w:val="626D33A6"/>
    <w:rsid w:val="62761876"/>
    <w:rsid w:val="629B43B7"/>
    <w:rsid w:val="63560C58"/>
    <w:rsid w:val="63FE4BFE"/>
    <w:rsid w:val="644F5459"/>
    <w:rsid w:val="649D4417"/>
    <w:rsid w:val="649E3CEB"/>
    <w:rsid w:val="64AD666F"/>
    <w:rsid w:val="64E04304"/>
    <w:rsid w:val="65556AA0"/>
    <w:rsid w:val="655D1169"/>
    <w:rsid w:val="65897F45"/>
    <w:rsid w:val="659836EC"/>
    <w:rsid w:val="659B022A"/>
    <w:rsid w:val="65C52414"/>
    <w:rsid w:val="66083B12"/>
    <w:rsid w:val="667C62AE"/>
    <w:rsid w:val="66AB26EF"/>
    <w:rsid w:val="66AD6AFC"/>
    <w:rsid w:val="675608AD"/>
    <w:rsid w:val="6780592A"/>
    <w:rsid w:val="678A0557"/>
    <w:rsid w:val="678E0047"/>
    <w:rsid w:val="67C5008E"/>
    <w:rsid w:val="67E22141"/>
    <w:rsid w:val="6844104D"/>
    <w:rsid w:val="69453654"/>
    <w:rsid w:val="69790883"/>
    <w:rsid w:val="697A5B25"/>
    <w:rsid w:val="6A3B4DEE"/>
    <w:rsid w:val="6A6634FD"/>
    <w:rsid w:val="6B4205C8"/>
    <w:rsid w:val="6B855C05"/>
    <w:rsid w:val="6B8D38E9"/>
    <w:rsid w:val="6BFD35BD"/>
    <w:rsid w:val="6C0E53FC"/>
    <w:rsid w:val="6C53360D"/>
    <w:rsid w:val="6DB8406F"/>
    <w:rsid w:val="6E7A69EA"/>
    <w:rsid w:val="6E8F72B7"/>
    <w:rsid w:val="6EB67631"/>
    <w:rsid w:val="6EF60961"/>
    <w:rsid w:val="6F03756C"/>
    <w:rsid w:val="6F2319BD"/>
    <w:rsid w:val="6F231BEF"/>
    <w:rsid w:val="6F71097A"/>
    <w:rsid w:val="6F857F81"/>
    <w:rsid w:val="70684B9B"/>
    <w:rsid w:val="708A1429"/>
    <w:rsid w:val="710F044A"/>
    <w:rsid w:val="71FB09CF"/>
    <w:rsid w:val="720B39EE"/>
    <w:rsid w:val="721C0BB1"/>
    <w:rsid w:val="722F2426"/>
    <w:rsid w:val="72516841"/>
    <w:rsid w:val="72603299"/>
    <w:rsid w:val="72E63E7E"/>
    <w:rsid w:val="73041B05"/>
    <w:rsid w:val="732B7092"/>
    <w:rsid w:val="73326672"/>
    <w:rsid w:val="733F2B3D"/>
    <w:rsid w:val="73AA42D6"/>
    <w:rsid w:val="73C21CCE"/>
    <w:rsid w:val="73E831D5"/>
    <w:rsid w:val="74042700"/>
    <w:rsid w:val="74085625"/>
    <w:rsid w:val="742C4E6F"/>
    <w:rsid w:val="744109E6"/>
    <w:rsid w:val="74757CD7"/>
    <w:rsid w:val="74B3733F"/>
    <w:rsid w:val="74EB788B"/>
    <w:rsid w:val="750D10C9"/>
    <w:rsid w:val="752A1AB1"/>
    <w:rsid w:val="7533222E"/>
    <w:rsid w:val="75596138"/>
    <w:rsid w:val="75DA55C9"/>
    <w:rsid w:val="7601057E"/>
    <w:rsid w:val="76037E52"/>
    <w:rsid w:val="760B4923"/>
    <w:rsid w:val="76911902"/>
    <w:rsid w:val="76A038F3"/>
    <w:rsid w:val="76CC293A"/>
    <w:rsid w:val="772462D2"/>
    <w:rsid w:val="77341221"/>
    <w:rsid w:val="773B361B"/>
    <w:rsid w:val="77586984"/>
    <w:rsid w:val="775D2D7A"/>
    <w:rsid w:val="777A4144"/>
    <w:rsid w:val="77C17FC5"/>
    <w:rsid w:val="78236589"/>
    <w:rsid w:val="78757A9E"/>
    <w:rsid w:val="795B1D53"/>
    <w:rsid w:val="797F1EE5"/>
    <w:rsid w:val="798E2078"/>
    <w:rsid w:val="79AA0058"/>
    <w:rsid w:val="79DC10E6"/>
    <w:rsid w:val="7A80583C"/>
    <w:rsid w:val="7A8A017B"/>
    <w:rsid w:val="7A911E9B"/>
    <w:rsid w:val="7AC1208A"/>
    <w:rsid w:val="7AE71BF2"/>
    <w:rsid w:val="7B1E74DC"/>
    <w:rsid w:val="7B5B24DE"/>
    <w:rsid w:val="7B98103C"/>
    <w:rsid w:val="7BBB1064"/>
    <w:rsid w:val="7BBE5399"/>
    <w:rsid w:val="7C4C0C20"/>
    <w:rsid w:val="7C4D62CB"/>
    <w:rsid w:val="7CBB1486"/>
    <w:rsid w:val="7D034BDB"/>
    <w:rsid w:val="7D7D57ED"/>
    <w:rsid w:val="7D8A69C3"/>
    <w:rsid w:val="7DBA34EC"/>
    <w:rsid w:val="7E0B79C8"/>
    <w:rsid w:val="7E2968C4"/>
    <w:rsid w:val="7E70004F"/>
    <w:rsid w:val="7EFC7E10"/>
    <w:rsid w:val="7F1255AA"/>
    <w:rsid w:val="7F581179"/>
    <w:rsid w:val="7FA04963"/>
    <w:rsid w:val="7FC468A4"/>
    <w:rsid w:val="ED6B182F"/>
    <w:rsid w:val="FEDCA6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1600" w:firstLineChars="200"/>
      <w:jc w:val="both"/>
    </w:pPr>
    <w:rPr>
      <w:rFonts w:ascii="仿宋_GB2312" w:hAnsi="仿宋_GB2312" w:eastAsia="仿宋_GB2312" w:cs="Times New Roman"/>
      <w:kern w:val="2"/>
      <w:sz w:val="24"/>
      <w:lang w:val="en-US" w:eastAsia="zh-CN" w:bidi="ar-SA"/>
    </w:rPr>
  </w:style>
  <w:style w:type="paragraph" w:styleId="2">
    <w:name w:val="heading 1"/>
    <w:basedOn w:val="1"/>
    <w:next w:val="1"/>
    <w:link w:val="32"/>
    <w:qFormat/>
    <w:uiPriority w:val="0"/>
    <w:pPr>
      <w:keepNext/>
      <w:numPr>
        <w:ilvl w:val="0"/>
        <w:numId w:val="0"/>
      </w:numPr>
      <w:spacing w:line="560" w:lineRule="exact"/>
      <w:ind w:left="0" w:firstLine="0" w:firstLineChars="0"/>
      <w:jc w:val="center"/>
      <w:outlineLvl w:val="0"/>
    </w:pPr>
    <w:rPr>
      <w:rFonts w:ascii="黑体" w:hAnsi="黑体" w:eastAsia="黑体"/>
      <w:sz w:val="32"/>
    </w:rPr>
  </w:style>
  <w:style w:type="paragraph" w:styleId="3">
    <w:name w:val="heading 2"/>
    <w:basedOn w:val="1"/>
    <w:next w:val="1"/>
    <w:link w:val="33"/>
    <w:qFormat/>
    <w:uiPriority w:val="0"/>
    <w:pPr>
      <w:keepNext/>
      <w:keepLines/>
      <w:numPr>
        <w:ilvl w:val="0"/>
        <w:numId w:val="1"/>
      </w:numPr>
      <w:spacing w:line="400" w:lineRule="exact"/>
      <w:ind w:left="0" w:firstLine="1044" w:firstLineChars="200"/>
      <w:jc w:val="left"/>
      <w:outlineLvl w:val="1"/>
    </w:pPr>
    <w:rPr>
      <w:b/>
      <w:bCs/>
      <w:szCs w:val="32"/>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4">
    <w:name w:val="E-mail Signature"/>
    <w:basedOn w:val="1"/>
    <w:next w:val="5"/>
    <w:qFormat/>
    <w:uiPriority w:val="0"/>
    <w:rPr>
      <w:rFonts w:ascii="Times New Roman"/>
    </w:rPr>
  </w:style>
  <w:style w:type="paragraph" w:customStyle="1" w:styleId="5">
    <w:name w:val="xl84"/>
    <w:basedOn w:val="1"/>
    <w:next w:val="6"/>
    <w:qFormat/>
    <w:uiPriority w:val="0"/>
    <w:pPr>
      <w:widowControl/>
      <w:spacing w:before="280" w:after="280"/>
    </w:pPr>
    <w:rPr>
      <w:sz w:val="22"/>
    </w:rPr>
  </w:style>
  <w:style w:type="paragraph" w:customStyle="1" w:styleId="6">
    <w:name w:val="et15"/>
    <w:basedOn w:val="1"/>
    <w:next w:val="7"/>
    <w:qFormat/>
    <w:uiPriority w:val="0"/>
    <w:pPr>
      <w:widowControl/>
      <w:shd w:val="clear" w:color="000000" w:fill="FFFFFF"/>
      <w:spacing w:before="280" w:after="280"/>
    </w:pPr>
    <w:rPr>
      <w:color w:val="000000"/>
      <w:sz w:val="20"/>
    </w:rPr>
  </w:style>
  <w:style w:type="paragraph" w:styleId="7">
    <w:name w:val="Signature"/>
    <w:basedOn w:val="1"/>
    <w:next w:val="1"/>
    <w:qFormat/>
    <w:uiPriority w:val="0"/>
    <w:pPr>
      <w:ind w:left="100"/>
    </w:pPr>
    <w:rPr>
      <w:rFonts w:ascii="Times New Roman"/>
    </w:rPr>
  </w:style>
  <w:style w:type="paragraph" w:styleId="8">
    <w:name w:val="Normal Indent"/>
    <w:basedOn w:val="1"/>
    <w:qFormat/>
    <w:uiPriority w:val="0"/>
    <w:pPr>
      <w:widowControl/>
      <w:ind w:firstLine="420"/>
      <w:jc w:val="left"/>
    </w:pPr>
    <w:rPr>
      <w:kern w:val="0"/>
      <w:sz w:val="20"/>
      <w:szCs w:val="20"/>
    </w:rPr>
  </w:style>
  <w:style w:type="paragraph" w:styleId="9">
    <w:name w:val="annotation text"/>
    <w:basedOn w:val="1"/>
    <w:qFormat/>
    <w:uiPriority w:val="0"/>
    <w:pPr>
      <w:jc w:val="left"/>
    </w:pPr>
  </w:style>
  <w:style w:type="paragraph" w:styleId="10">
    <w:name w:val="Body Text 3"/>
    <w:basedOn w:val="1"/>
    <w:qFormat/>
    <w:uiPriority w:val="0"/>
    <w:pPr>
      <w:widowControl w:val="0"/>
      <w:adjustRightInd/>
      <w:snapToGrid/>
      <w:jc w:val="left"/>
    </w:pPr>
    <w:rPr>
      <w:rFonts w:ascii="宋体" w:hAnsi="Times New Roman" w:cs="Times New Roman"/>
      <w:b/>
      <w:kern w:val="2"/>
      <w:szCs w:val="20"/>
    </w:rPr>
  </w:style>
  <w:style w:type="paragraph" w:styleId="11">
    <w:name w:val="Closing"/>
    <w:basedOn w:val="1"/>
    <w:next w:val="12"/>
    <w:qFormat/>
    <w:uiPriority w:val="0"/>
    <w:pPr>
      <w:ind w:left="100"/>
    </w:pPr>
    <w:rPr>
      <w:rFonts w:ascii="Times New Roman" w:cs="Times New Roman"/>
    </w:rPr>
  </w:style>
  <w:style w:type="paragraph" w:customStyle="1" w:styleId="12">
    <w:name w:val="Char Char1 Char Char Char Char Char Char Char Char Char Char Char Char Char Char Char Char Char Char"/>
    <w:basedOn w:val="1"/>
    <w:next w:val="4"/>
    <w:qFormat/>
    <w:uiPriority w:val="0"/>
    <w:pPr>
      <w:widowControl/>
      <w:spacing w:after="160" w:line="240" w:lineRule="exact"/>
    </w:pPr>
    <w:rPr>
      <w:rFonts w:ascii="宋体" w:hAnsi="宋体" w:eastAsia="Times New Roman" w:cs="宋体"/>
      <w:kern w:val="0"/>
      <w:sz w:val="20"/>
    </w:rPr>
  </w:style>
  <w:style w:type="paragraph" w:styleId="13">
    <w:name w:val="Body Text"/>
    <w:basedOn w:val="1"/>
    <w:next w:val="14"/>
    <w:qFormat/>
    <w:uiPriority w:val="0"/>
    <w:pPr>
      <w:spacing w:after="120" w:afterLines="0" w:afterAutospacing="0"/>
    </w:pPr>
  </w:style>
  <w:style w:type="paragraph" w:styleId="14">
    <w:name w:val="Body Text First Indent"/>
    <w:basedOn w:val="13"/>
    <w:qFormat/>
    <w:uiPriority w:val="0"/>
    <w:pPr>
      <w:ind w:firstLine="420" w:firstLineChars="100"/>
    </w:pPr>
  </w:style>
  <w:style w:type="paragraph" w:styleId="15">
    <w:name w:val="Body Text Indent"/>
    <w:basedOn w:val="1"/>
    <w:qFormat/>
    <w:uiPriority w:val="0"/>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styleId="16">
    <w:name w:val="toc 3"/>
    <w:basedOn w:val="1"/>
    <w:next w:val="1"/>
    <w:qFormat/>
    <w:uiPriority w:val="0"/>
    <w:pPr>
      <w:ind w:left="840" w:leftChars="400"/>
    </w:pPr>
  </w:style>
  <w:style w:type="paragraph" w:styleId="17">
    <w:name w:val="Plain Text"/>
    <w:basedOn w:val="1"/>
    <w:qFormat/>
    <w:uiPriority w:val="0"/>
    <w:pPr>
      <w:spacing w:line="360" w:lineRule="auto"/>
    </w:pPr>
    <w:rPr>
      <w:rFonts w:ascii="楷体_GB2312" w:hAnsi="Courier New" w:eastAsia="楷体_GB2312"/>
      <w:sz w:val="24"/>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50" w:beforeLines="50" w:after="50" w:afterLines="50" w:line="276" w:lineRule="auto"/>
      <w:ind w:firstLine="0" w:firstLineChars="0"/>
      <w:jc w:val="left"/>
    </w:pPr>
    <w:rPr>
      <w:b/>
      <w:bCs/>
      <w:caps/>
    </w:rPr>
  </w:style>
  <w:style w:type="paragraph" w:styleId="21">
    <w:name w:val="toc 2"/>
    <w:basedOn w:val="1"/>
    <w:next w:val="1"/>
    <w:qFormat/>
    <w:uiPriority w:val="39"/>
    <w:pPr>
      <w:tabs>
        <w:tab w:val="left" w:pos="941"/>
        <w:tab w:val="right" w:leader="dot" w:pos="9629"/>
      </w:tabs>
      <w:spacing w:line="276" w:lineRule="auto"/>
      <w:ind w:left="221" w:leftChars="0" w:firstLine="0" w:firstLineChars="0"/>
    </w:pPr>
  </w:style>
  <w:style w:type="paragraph" w:styleId="22">
    <w:name w:val="Body Text 2"/>
    <w:basedOn w:val="1"/>
    <w:next w:val="1"/>
    <w:qFormat/>
    <w:uiPriority w:val="0"/>
    <w:pPr>
      <w:spacing w:line="360" w:lineRule="auto"/>
    </w:pPr>
    <w:rPr>
      <w:spacing w:val="-20"/>
      <w:kern w:val="2"/>
      <w:sz w:val="28"/>
    </w:rPr>
  </w:style>
  <w:style w:type="paragraph" w:styleId="23">
    <w:name w:val="Normal (Web)"/>
    <w:basedOn w:val="1"/>
    <w:qFormat/>
    <w:uiPriority w:val="0"/>
    <w:pPr>
      <w:widowControl/>
      <w:spacing w:before="100" w:beforeAutospacing="1" w:after="100" w:afterAutospacing="1"/>
      <w:jc w:val="left"/>
    </w:pPr>
    <w:rPr>
      <w:rFonts w:hAnsi="宋体" w:cs="宋体"/>
      <w:color w:val="0066CC"/>
      <w:szCs w:val="22"/>
    </w:rPr>
  </w:style>
  <w:style w:type="paragraph" w:styleId="24">
    <w:name w:val="Body Text First Indent 2"/>
    <w:basedOn w:val="15"/>
    <w:qFormat/>
    <w:uiPriority w:val="0"/>
    <w:pPr>
      <w:tabs>
        <w:tab w:val="left" w:pos="720"/>
      </w:tabs>
      <w:ind w:firstLine="420"/>
    </w:pPr>
  </w:style>
  <w:style w:type="table" w:styleId="26">
    <w:name w:val="Table Grid"/>
    <w:basedOn w:val="25"/>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FollowedHyperlink"/>
    <w:basedOn w:val="27"/>
    <w:qFormat/>
    <w:uiPriority w:val="0"/>
    <w:rPr>
      <w:color w:val="800080"/>
      <w:u w:val="single"/>
    </w:rPr>
  </w:style>
  <w:style w:type="character" w:styleId="30">
    <w:name w:val="Hyperlink"/>
    <w:qFormat/>
    <w:uiPriority w:val="99"/>
    <w:rPr>
      <w:color w:val="0000FF"/>
      <w:u w:val="single"/>
    </w:rPr>
  </w:style>
  <w:style w:type="paragraph" w:customStyle="1" w:styleId="31">
    <w:name w:val="toa heading1"/>
    <w:basedOn w:val="1"/>
    <w:next w:val="1"/>
    <w:qFormat/>
    <w:uiPriority w:val="0"/>
    <w:rPr>
      <w:rFonts w:ascii="Arial" w:hAnsi="Arial" w:eastAsia="宋体" w:cs="Times New Roman"/>
      <w:sz w:val="24"/>
    </w:rPr>
  </w:style>
  <w:style w:type="character" w:customStyle="1" w:styleId="32">
    <w:name w:val="标题 1 Char"/>
    <w:link w:val="2"/>
    <w:qFormat/>
    <w:uiPriority w:val="0"/>
    <w:rPr>
      <w:rFonts w:ascii="黑体" w:hAnsi="黑体" w:eastAsia="黑体"/>
      <w:sz w:val="32"/>
    </w:rPr>
  </w:style>
  <w:style w:type="character" w:customStyle="1" w:styleId="33">
    <w:name w:val="标题 2 Char"/>
    <w:link w:val="3"/>
    <w:qFormat/>
    <w:uiPriority w:val="0"/>
    <w:rPr>
      <w:rFonts w:ascii="仿宋_GB2312" w:hAnsi="仿宋_GB2312" w:eastAsia="仿宋_GB2312"/>
      <w:b/>
      <w:bCs/>
      <w:sz w:val="24"/>
      <w:szCs w:val="32"/>
    </w:rPr>
  </w:style>
  <w:style w:type="paragraph" w:customStyle="1" w:styleId="3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1"/>
    <w:basedOn w:val="36"/>
    <w:next w:val="15"/>
    <w:qFormat/>
    <w:uiPriority w:val="0"/>
    <w:pPr>
      <w:spacing w:line="360" w:lineRule="auto"/>
    </w:pPr>
    <w:rPr>
      <w:rFonts w:eastAsia="仿宋_GB2312"/>
      <w:sz w:val="24"/>
    </w:rPr>
  </w:style>
  <w:style w:type="paragraph" w:customStyle="1" w:styleId="36">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Default"/>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8">
    <w:name w:val="正文（缩进）"/>
    <w:basedOn w:val="1"/>
    <w:qFormat/>
    <w:uiPriority w:val="0"/>
    <w:pPr>
      <w:widowControl/>
      <w:spacing w:before="156" w:after="156"/>
      <w:ind w:firstLine="480" w:firstLineChars="200"/>
      <w:jc w:val="left"/>
    </w:pPr>
    <w:rPr>
      <w:rFonts w:ascii="仿宋_GB2312" w:eastAsia="仿宋_GB2312"/>
      <w:szCs w:val="24"/>
    </w:rPr>
  </w:style>
  <w:style w:type="paragraph" w:customStyle="1" w:styleId="39">
    <w:name w:val="Table Text"/>
    <w:basedOn w:val="1"/>
    <w:semiHidden/>
    <w:qFormat/>
    <w:uiPriority w:val="0"/>
    <w:rPr>
      <w:rFonts w:ascii="宋体" w:hAnsi="宋体" w:eastAsia="宋体" w:cs="宋体"/>
      <w:sz w:val="20"/>
      <w:szCs w:val="20"/>
      <w:lang w:val="en-US" w:eastAsia="en-US" w:bidi="ar-SA"/>
    </w:rPr>
  </w:style>
  <w:style w:type="table" w:customStyle="1" w:styleId="40">
    <w:name w:val="Table Normal"/>
    <w:unhideWhenUsed/>
    <w:qFormat/>
    <w:uiPriority w:val="0"/>
    <w:tblPr>
      <w:tblCellMar>
        <w:top w:w="0" w:type="dxa"/>
        <w:left w:w="0" w:type="dxa"/>
        <w:bottom w:w="0" w:type="dxa"/>
        <w:right w:w="0" w:type="dxa"/>
      </w:tblCellMar>
    </w:tblPr>
  </w:style>
  <w:style w:type="paragraph" w:customStyle="1" w:styleId="41">
    <w:name w:val="Table Paragraph"/>
    <w:basedOn w:val="1"/>
    <w:qFormat/>
    <w:uiPriority w:val="1"/>
    <w:pPr>
      <w:spacing w:before="90"/>
      <w:ind w:left="6"/>
      <w:jc w:val="center"/>
    </w:pPr>
  </w:style>
  <w:style w:type="paragraph" w:customStyle="1" w:styleId="42">
    <w:name w:val="正文文本(1)"/>
    <w:basedOn w:val="13"/>
    <w:autoRedefine/>
    <w:qFormat/>
    <w:uiPriority w:val="0"/>
    <w:pPr>
      <w:ind w:left="0"/>
    </w:pPr>
  </w:style>
  <w:style w:type="paragraph" w:customStyle="1" w:styleId="43">
    <w:name w:val="彩色列表1"/>
    <w:basedOn w:val="1"/>
    <w:unhideWhenUsed/>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25422</Words>
  <Characters>26918</Characters>
  <Lines>0</Lines>
  <Paragraphs>0</Paragraphs>
  <TotalTime>10</TotalTime>
  <ScaleCrop>false</ScaleCrop>
  <LinksUpToDate>false</LinksUpToDate>
  <CharactersWithSpaces>28055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2023-02-16T01:18:00Z</dcterms:created>
  <dc:creator>Woody</dc:creator>
  <cp:lastModifiedBy>Cc1995</cp:lastModifiedBy>
  <cp:lastPrinted>2025-12-27T03:15:00Z</cp:lastPrinted>
  <dcterms:modified xsi:type="dcterms:W3CDTF">2026-01-30T09:15:55Z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BA64B82D453940898CF9215813639A4C_13</vt:lpwstr>
  </property>
  <property fmtid="{D5CDD505-2E9C-101B-9397-08002B2CF9AE}" pid="4" name="KSOTemplateDocerSaveRecord">
    <vt:lpwstr>eyJoZGlkIjoiZGY3ZDUzZmU1MjhiYWQ0M2EwNTJhODg0ZGU0YjUxMWMiLCJ1c2VySWQiOiIyNjA5NTIyMjYifQ==</vt:lpwstr>
  </property>
</Properties>
</file>